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ormalWeb"/>
      </w:pPr>
      <w:r>
        <w:rPr>
          <w:rStyle w:val="cdc8d7411"/>
        </w:rPr>
        <w:t>Optionale Vertragsbestimmung</w:t>
      </w:r>
      <w:r>
        <w:rPr>
          <w:rStyle w:val="normal1"/>
        </w:rPr>
        <w:t>: (</w:t>
      </w:r>
      <w:r>
        <w:rPr>
          <w:rStyle w:val="cdc8d7421"/>
        </w:rPr>
        <w:t>Als „optionale Vertragsbestimmungen“ gekennzeichnete Bestimmungen können nach Wunsch beibehalten oder ersatzlos weggelassen werden</w:t>
      </w:r>
      <w:r>
        <w:rPr>
          <w:rStyle w:val="normal1"/>
        </w:rPr>
        <w:t>)</w:t>
      </w:r>
    </w:p>
    <w:p>
      <w:pPr>
        <w:pStyle w:val="NormalWeb"/>
      </w:pPr>
      <w:r>
        <w:rPr>
          <w:rStyle w:val="normal1"/>
        </w:rPr>
        <w:t>[</w:t>
      </w:r>
      <w:r>
        <w:rPr>
          <w:rStyle w:val="cdc8d7431"/>
        </w:rPr>
        <w:t>____</w:t>
      </w:r>
      <w:r>
        <w:rPr>
          <w:rStyle w:val="normal1"/>
        </w:rPr>
        <w:t>] Alternativklauseln und Kommentare Industriepartner / öffentliche Forschungseinrichtungen</w:t>
      </w:r>
    </w:p>
    <w:p>
      <w:pPr>
        <w:pStyle w:val="NormalWeb"/>
      </w:pPr>
      <w:r>
        <w:rPr>
          <w:rStyle w:val="normal1"/>
        </w:rPr>
        <w:t>[</w:t>
      </w:r>
      <w:r>
        <w:rPr>
          <w:rStyle w:val="cdc8d7441"/>
        </w:rPr>
        <w:t>____</w:t>
      </w:r>
      <w:r>
        <w:rPr>
          <w:rStyle w:val="normal1"/>
        </w:rPr>
        <w:t>] Optionen, Alternativen</w:t>
      </w:r>
    </w:p>
    <w:p>
      <w:pPr>
        <w:pStyle w:val="NormalWeb"/>
      </w:pPr>
      <w:r>
        <w:rPr>
          <w:rStyle w:val="cdc8d7451"/>
        </w:rPr>
        <w:t>___________</w:t>
      </w:r>
      <w:r>
        <w:rPr>
          <w:rStyle w:val="normal1"/>
        </w:rPr>
        <w:t> (vom Nutzer auszufüllen)</w:t>
      </w:r>
    </w:p>
    <w:p>
      <w:pPr>
        <w:pStyle w:val="NormalWeb"/>
        <w:spacing w:after="240"/>
      </w:pPr>
      <w:r>
        <w:rPr>
          <w:rStyle w:val="normal1"/>
        </w:rPr>
        <w:t>(</w:t>
      </w:r>
      <w:r>
        <w:rPr>
          <w:rStyle w:val="cdc8d7461"/>
        </w:rPr>
        <w:t>____</w:t>
      </w:r>
      <w:r>
        <w:rPr>
          <w:rStyle w:val="normal1"/>
        </w:rPr>
        <w:t>) Hilfestellung für Eingabefelder, Optionen, Alternativen</w:t>
      </w:r>
    </w:p>
    <w:tbl>
      <w:tblPr>
        <w:tblStyle w:val="TableGrid"/>
        <w:tblW w:w="0" w:type="auto"/>
        <w:tblLayout w:type="fixed"/>
        <w:tblLook w:val="04A0" w:firstRow="1" w:lastRow="0" w:firstColumn="1" w:lastColumn="0" w:noHBand="0" w:noVBand="1"/>
      </w:tblPr>
      <w:tblGrid>
        <w:gridCol w:w="4644"/>
        <w:gridCol w:w="4644"/>
      </w:tblGrid>
      <w:tr>
        <w:tc>
          <w:tcPr>
            <w:tcW w:w="4644" w:type="dxa"/>
          </w:tcPr>
          <w:p>
            <w:pPr>
              <w:pStyle w:val="NormalWeb"/>
              <w:spacing w:before="240" w:after="240"/>
              <w:jc w:val="center"/>
            </w:pPr>
            <w:r>
              <w:rPr>
                <w:rStyle w:val="cdc8d7551"/>
              </w:rPr>
              <w:t>MATERIALÜBERLASSUNGSVEREINBARUNG (MATERIAL TRANSFER AGREEMENT) FÜR BIOMATERIAL TIERISCHEN URSPRUNGS</w:t>
            </w:r>
          </w:p>
        </w:tc>
        <w:tc>
          <w:tcPr>
            <w:tcW w:w="4644" w:type="dxa"/>
          </w:tcPr>
          <w:p>
            <w:pPr>
              <w:pStyle w:val="NormalWeb"/>
              <w:spacing w:before="240" w:after="240"/>
            </w:pPr>
            <w:r>
              <w:rPr>
                <w:rStyle w:val="cc4461401"/>
              </w:rPr>
              <w:t>ALLGEMEINES</w:t>
            </w:r>
          </w:p>
          <w:p>
            <w:pPr>
              <w:pStyle w:val="NormalWeb"/>
              <w:spacing w:after="240"/>
            </w:pPr>
            <w:r>
              <w:rPr>
                <w:rStyle w:val="normal2"/>
              </w:rPr>
              <w:t>Dieses speziell für tierische Proben geschaffene Material Transfer Agreement für Biomaterialien („</w:t>
            </w:r>
            <w:proofErr w:type="spellStart"/>
            <w:r>
              <w:rPr>
                <w:rStyle w:val="normal2"/>
              </w:rPr>
              <w:t>MTA</w:t>
            </w:r>
            <w:proofErr w:type="spellEnd"/>
            <w:r>
              <w:rPr>
                <w:rStyle w:val="normal2"/>
              </w:rPr>
              <w:t xml:space="preserve">“) kann sowohl verwendet werden, wenn die Universität / Forschungsinstitution Empfängerin, als auch, wenn sie </w:t>
            </w:r>
            <w:proofErr w:type="spellStart"/>
            <w:r>
              <w:rPr>
                <w:rStyle w:val="normal2"/>
              </w:rPr>
              <w:t>Bereitstellerin</w:t>
            </w:r>
            <w:proofErr w:type="spellEnd"/>
            <w:r>
              <w:rPr>
                <w:rStyle w:val="normal2"/>
              </w:rPr>
              <w:t xml:space="preserve"> des Materials ist. Bei der Verwendung dieses Musters ist darauf zu achten, dass je nach der Position der Universität / Forschungsinstitution als Empfänger oder Bereitsteller bestimmte Formulierungsvorschläge in diesem Muster für die Universität / Forschungsinstitution günstiger oder weniger günstig sind. Entsprechend sind die Alternativen zu wählen bzw. zu verhandeln.</w:t>
            </w:r>
          </w:p>
          <w:p>
            <w:pPr>
              <w:pStyle w:val="NormalWeb"/>
              <w:spacing w:after="240"/>
            </w:pPr>
            <w:r>
              <w:rPr>
                <w:rStyle w:val="normal2"/>
              </w:rPr>
              <w:t xml:space="preserve">Dieses </w:t>
            </w:r>
            <w:proofErr w:type="spellStart"/>
            <w:r>
              <w:rPr>
                <w:rStyle w:val="normal2"/>
              </w:rPr>
              <w:t>MTA</w:t>
            </w:r>
            <w:proofErr w:type="spellEnd"/>
            <w:r>
              <w:rPr>
                <w:rStyle w:val="normal2"/>
              </w:rPr>
              <w:t xml:space="preserve"> ist immer zu verwenden, wenn es vom Tier entnommene Proben zum Gegenstand hat. Für vom Mensch entnommene Proben gibt es ein eigenes </w:t>
            </w:r>
            <w:proofErr w:type="spellStart"/>
            <w:r>
              <w:rPr>
                <w:rStyle w:val="normal2"/>
              </w:rPr>
              <w:t>MTA</w:t>
            </w:r>
            <w:proofErr w:type="spellEnd"/>
            <w:r>
              <w:rPr>
                <w:rStyle w:val="normal2"/>
              </w:rPr>
              <w:t>, das rechtliche Themen abdeckt, die im Zusammenhang mit der Forschung mit tierischen Proben nicht auftreten, selbst wenn die Tierproben für die Humanforschung verwendet werden. Humanproben unterliegen etwa persönlichkeitsrechtlichen Zustimmungserfordernissen, was bei tierischen Proben jedenfalls nicht der Fall ist. Ebenso wenig unterliegen Tierproben dem Datenschutz, solange nicht auch Daten des Tierhalters und / oder seines Betriebes erfasst werden. Auch gesetzliche und ethische Schranken des Erwerbs von Proben gegen Entgelt bestehen nicht.</w:t>
            </w:r>
          </w:p>
          <w:p>
            <w:pPr>
              <w:pStyle w:val="NormalWeb"/>
              <w:spacing w:after="240"/>
            </w:pPr>
            <w:r>
              <w:rPr>
                <w:rStyle w:val="normal2"/>
              </w:rPr>
              <w:t>Quellen derartiger Proben können sein:</w:t>
            </w:r>
          </w:p>
          <w:p>
            <w:pPr>
              <w:pStyle w:val="NormalWeb"/>
            </w:pPr>
            <w:r>
              <w:rPr>
                <w:rStyle w:val="normal2"/>
              </w:rPr>
              <w:t>• Gewebe, das für die Diagnose entnommen aber nicht mehr benötigt wird z.B. Tumorgewebe</w:t>
            </w:r>
          </w:p>
          <w:p>
            <w:pPr>
              <w:pStyle w:val="NormalWeb"/>
            </w:pPr>
            <w:r>
              <w:rPr>
                <w:rStyle w:val="normal2"/>
              </w:rPr>
              <w:t>• Gewebe, das während der Therapie entnommen wird (z.B. Tumorgewebe, Kastration (Hoden, Eierstöcke)</w:t>
            </w:r>
          </w:p>
          <w:p>
            <w:pPr>
              <w:pStyle w:val="NormalWeb"/>
            </w:pPr>
            <w:r>
              <w:rPr>
                <w:rStyle w:val="normal2"/>
              </w:rPr>
              <w:t>• Gewebe von toten Tieren</w:t>
            </w:r>
          </w:p>
          <w:p>
            <w:pPr>
              <w:pStyle w:val="NormalWeb"/>
              <w:spacing w:after="240"/>
            </w:pPr>
            <w:r>
              <w:rPr>
                <w:rStyle w:val="normal2"/>
              </w:rPr>
              <w:lastRenderedPageBreak/>
              <w:t>• Proben von Tierversuchen</w:t>
            </w:r>
          </w:p>
          <w:p>
            <w:pPr>
              <w:pStyle w:val="NormalWeb"/>
              <w:spacing w:after="240"/>
            </w:pPr>
            <w:r>
              <w:rPr>
                <w:rStyle w:val="normal2"/>
              </w:rPr>
              <w:t>Sofern das Eigentum an einer Probe (bzw. an einem tierischen Leichnam) nur erworben oder veräußert wird ist das Muster „Übertragung von Eigentum an tierischen Proben“ zu verwenden.</w:t>
            </w:r>
          </w:p>
          <w:p>
            <w:pPr>
              <w:pStyle w:val="NormalWeb"/>
              <w:spacing w:after="240"/>
            </w:pPr>
            <w:r>
              <w:rPr>
                <w:rStyle w:val="normal2"/>
              </w:rPr>
              <w:t xml:space="preserve">Ein </w:t>
            </w:r>
            <w:proofErr w:type="spellStart"/>
            <w:r>
              <w:rPr>
                <w:rStyle w:val="normal2"/>
              </w:rPr>
              <w:t>MTA</w:t>
            </w:r>
            <w:proofErr w:type="spellEnd"/>
            <w:r>
              <w:rPr>
                <w:rStyle w:val="normal2"/>
              </w:rPr>
              <w:t xml:space="preserve"> ist gesetzlich nicht geregelt, weshalb umfassende vertragliche Regelungen, insbesondere auch hinsichtlich Haftung und Vertragsgegenstand, erforderlich sind. Es ist zu beachten, dass das übergebene "Material" ebenso wie die erzielten Ergebnisse häufig immaterialgüterrechtlich nicht schutzfähig sind, sondern es sich am ehesten um </w:t>
            </w:r>
            <w:proofErr w:type="spellStart"/>
            <w:r>
              <w:rPr>
                <w:rStyle w:val="normal2"/>
              </w:rPr>
              <w:t>Know-How</w:t>
            </w:r>
            <w:proofErr w:type="spellEnd"/>
            <w:r>
              <w:rPr>
                <w:rStyle w:val="normal2"/>
              </w:rPr>
              <w:t xml:space="preserve"> handelt.</w:t>
            </w:r>
          </w:p>
          <w:p>
            <w:pPr>
              <w:pStyle w:val="NormalWeb"/>
              <w:spacing w:after="240"/>
            </w:pPr>
            <w:r>
              <w:rPr>
                <w:rStyle w:val="normal2"/>
              </w:rPr>
              <w:t xml:space="preserve">Wird das Muster als Vertragsformular verwendet, dann ist § </w:t>
            </w:r>
            <w:proofErr w:type="spellStart"/>
            <w:r>
              <w:rPr>
                <w:rStyle w:val="normal2"/>
              </w:rPr>
              <w:t>864a</w:t>
            </w:r>
            <w:proofErr w:type="spellEnd"/>
            <w:r>
              <w:rPr>
                <w:rStyle w:val="normal2"/>
              </w:rPr>
              <w:t xml:space="preserve"> </w:t>
            </w:r>
            <w:proofErr w:type="spellStart"/>
            <w:r>
              <w:rPr>
                <w:rStyle w:val="normal2"/>
              </w:rPr>
              <w:t>ABGB</w:t>
            </w:r>
            <w:proofErr w:type="spellEnd"/>
            <w:r>
              <w:rPr>
                <w:rStyle w:val="normal2"/>
              </w:rPr>
              <w:t xml:space="preserve"> (Allgemeines Bürgerliches Gesetzbuch)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 Zusätzlich ist § 879 Abs. 3 </w:t>
            </w:r>
            <w:proofErr w:type="spellStart"/>
            <w:r>
              <w:rPr>
                <w:rStyle w:val="normal2"/>
              </w:rPr>
              <w:t>ABGB</w:t>
            </w:r>
            <w:proofErr w:type="spellEnd"/>
            <w:r>
              <w:rPr>
                <w:rStyle w:val="normal2"/>
              </w:rPr>
              <w:t xml:space="preserve"> beachtlich, wonach eine in Allgemeinen Geschäftsbedingungen oder Vertragsformblättern enthaltene Vertragsbestimmung, die nicht eine der beiderseitigen Hauptleistungen festlegt, jedenfalls nichtig ist, wenn sie unter Berücksichtigung aller Umstände des Falles einen Teil gröblich benachteiligt.</w:t>
            </w:r>
          </w:p>
          <w:p>
            <w:pPr>
              <w:pStyle w:val="NormalWeb"/>
              <w:spacing w:after="240"/>
            </w:pPr>
            <w:r>
              <w:rPr>
                <w:rStyle w:val="normal2"/>
              </w:rPr>
              <w:t>Voraussetzung der Forschung an tierischen Proben ist, dass entweder vom Eigentümer des toten oder lebenden Tieres Eigentum an diesen Proben erworben wurde oder zumindest ein Nutzungsrecht für Forschungszwecke daran übertragen wurde. Dieses Vertragsmuster geht vom Erwerb des Eigentums an den Proben aus, weil der Eigentumserwerb die praktikablere Lösung ist.</w:t>
            </w:r>
          </w:p>
          <w:p>
            <w:pPr>
              <w:pStyle w:val="NormalWeb"/>
              <w:spacing w:after="240"/>
            </w:pPr>
            <w:r>
              <w:rPr>
                <w:rStyle w:val="normal2"/>
              </w:rPr>
              <w:t xml:space="preserve">Werden die Proben mehrfach übertragen, ist immer eine Vereinbarung über den </w:t>
            </w:r>
            <w:r>
              <w:rPr>
                <w:rStyle w:val="normal2"/>
              </w:rPr>
              <w:lastRenderedPageBreak/>
              <w:t xml:space="preserve">Eigentumserwerb zu treffen. Voraussetzung des Eigentumserwerbes ist, dass der Voreigentümer ebenfalls Eigentümer der Proben war. Daher ist zumindest auch eine Gewährleistung im Vertrag aufzunehmen, dass der Verkäufer auch tatsächlich Eigentümer ist. Es muss somit immer eine Kette an Eigentümern vorliegen. Siehe dazu Muster „Übertragung von Eigentum an tierischen Proben“. </w:t>
            </w:r>
          </w:p>
          <w:p>
            <w:pPr>
              <w:pStyle w:val="NormalWeb"/>
              <w:spacing w:after="240"/>
            </w:pPr>
            <w:r>
              <w:rPr>
                <w:rStyle w:val="normal2"/>
              </w:rPr>
              <w:t xml:space="preserve">Sollte man ohne es zu wissen die Proben von einem Nichteigentümer erwerben, besteht bei einem entgeltlichen Erwerb immer noch die Möglichkeit eines gutgläubigen Eigentumserwerbs nach § 367 </w:t>
            </w:r>
            <w:proofErr w:type="spellStart"/>
            <w:r>
              <w:rPr>
                <w:rStyle w:val="normal2"/>
              </w:rPr>
              <w:t>ABGB</w:t>
            </w:r>
            <w:proofErr w:type="spellEnd"/>
            <w:r>
              <w:rPr>
                <w:rStyle w:val="normal2"/>
              </w:rPr>
              <w:t>, sofern alle dort genannten Voraussetzungen vorliegen.</w:t>
            </w:r>
          </w:p>
          <w:p>
            <w:pPr>
              <w:pStyle w:val="NormalWeb"/>
              <w:spacing w:after="240"/>
            </w:pPr>
            <w:r>
              <w:rPr>
                <w:rStyle w:val="normal2"/>
              </w:rPr>
              <w:t>Wenn gemeinsam mit dem Erwerb der Probe auch bestimmte den Tierhalter betreffende personenbezogene Daten übertragen werden, ist für deren Verwendung eine datenschutzrechtliche Zustimmungserklärung (zumeist) erforderlich, die eine Zweckbindung (auf den Forschungsgegenstand) vorsehen und eine Weitergabe an Dritte der personenbezogenen Daten einer ausdrücklichen Zustimmung bedarf.</w:t>
            </w:r>
          </w:p>
          <w:p>
            <w:pPr>
              <w:pStyle w:val="NormalWeb"/>
              <w:spacing w:after="240"/>
            </w:pPr>
            <w:r>
              <w:rPr>
                <w:rStyle w:val="normal2"/>
              </w:rPr>
              <w:t>Wichtig ist auch, Unterlagen über den rechtsgültigen Erwerb der Materialien und alle Bezug habenden Unterlagen immer bereit zu halten und den Bezug zu den Proben aufrechtzuerhalten.</w:t>
            </w:r>
          </w:p>
        </w:tc>
      </w:tr>
      <w:tr>
        <w:tc>
          <w:tcPr>
            <w:tcW w:w="4644" w:type="dxa"/>
          </w:tcPr>
          <w:p>
            <w:pPr>
              <w:pStyle w:val="NormalWeb"/>
              <w:spacing w:before="240" w:after="240"/>
              <w:jc w:val="center"/>
            </w:pPr>
            <w:r>
              <w:rPr>
                <w:rStyle w:val="cdc8d7491"/>
              </w:rPr>
              <w:lastRenderedPageBreak/>
              <w:t>abgeschlossen zwischen</w:t>
            </w:r>
          </w:p>
          <w:p>
            <w:pPr>
              <w:pStyle w:val="NormalWeb"/>
              <w:jc w:val="center"/>
            </w:pPr>
            <w:r>
              <w:rPr>
                <w:rStyle w:val="cdc8d7501"/>
              </w:rPr>
              <w:t>_____________</w:t>
            </w:r>
            <w:r>
              <w:rPr>
                <w:rStyle w:val="cdc8d7491"/>
              </w:rPr>
              <w:t>(</w:t>
            </w:r>
            <w:r>
              <w:rPr>
                <w:rStyle w:val="cdc8d7521"/>
              </w:rPr>
              <w:t>Universität</w:t>
            </w:r>
            <w:r>
              <w:rPr>
                <w:rStyle w:val="cdc8d7491"/>
              </w:rPr>
              <w:t>) (</w:t>
            </w:r>
            <w:r>
              <w:rPr>
                <w:rStyle w:val="cdc8d7521"/>
              </w:rPr>
              <w:t>Forschungsinstitut</w:t>
            </w:r>
            <w:r>
              <w:rPr>
                <w:rStyle w:val="cdc8d7491"/>
              </w:rPr>
              <w:t>)</w:t>
            </w:r>
          </w:p>
          <w:p>
            <w:pPr>
              <w:pStyle w:val="NormalWeb"/>
              <w:jc w:val="center"/>
            </w:pPr>
            <w:r>
              <w:rPr>
                <w:rStyle w:val="cdc8d7491"/>
              </w:rPr>
              <w:t xml:space="preserve">vertreten durch </w:t>
            </w:r>
            <w:r>
              <w:rPr>
                <w:rStyle w:val="cdc8d7501"/>
              </w:rPr>
              <w:t>___________</w:t>
            </w:r>
            <w:r>
              <w:rPr>
                <w:rStyle w:val="cdc8d7491"/>
              </w:rPr>
              <w:t>(</w:t>
            </w:r>
            <w:r>
              <w:rPr>
                <w:rStyle w:val="cdc8d7521"/>
              </w:rPr>
              <w:t>Name</w:t>
            </w:r>
            <w:r>
              <w:rPr>
                <w:rStyle w:val="cdc8d7491"/>
              </w:rPr>
              <w:t>)</w:t>
            </w:r>
          </w:p>
          <w:p>
            <w:pPr>
              <w:pStyle w:val="NormalWeb"/>
              <w:spacing w:after="240"/>
              <w:jc w:val="center"/>
            </w:pPr>
            <w:r>
              <w:rPr>
                <w:rStyle w:val="cdc8d7501"/>
              </w:rPr>
              <w:t>__________________</w:t>
            </w:r>
            <w:r>
              <w:rPr>
                <w:rStyle w:val="cdc8d7491"/>
              </w:rPr>
              <w:t>(</w:t>
            </w:r>
            <w:r>
              <w:rPr>
                <w:rStyle w:val="cdc8d7521"/>
              </w:rPr>
              <w:t>Adresse</w:t>
            </w:r>
            <w:r>
              <w:rPr>
                <w:rStyle w:val="cdc8d7491"/>
              </w:rPr>
              <w:t>)</w:t>
            </w:r>
          </w:p>
          <w:p>
            <w:pPr>
              <w:pStyle w:val="NormalWeb"/>
              <w:spacing w:after="240"/>
              <w:jc w:val="center"/>
            </w:pPr>
            <w:r>
              <w:rPr>
                <w:rStyle w:val="cdc8d7491"/>
              </w:rPr>
              <w:t>(nachstehend „[</w:t>
            </w:r>
            <w:r>
              <w:rPr>
                <w:rStyle w:val="cdc8d7541"/>
              </w:rPr>
              <w:t>übernehmende Partei</w:t>
            </w:r>
            <w:r>
              <w:rPr>
                <w:rStyle w:val="cdc8d7491"/>
              </w:rPr>
              <w:t>] / [</w:t>
            </w:r>
            <w:r>
              <w:rPr>
                <w:rStyle w:val="cdc8d7541"/>
              </w:rPr>
              <w:t>übertragende Partei</w:t>
            </w:r>
            <w:r>
              <w:rPr>
                <w:rStyle w:val="cdc8d7491"/>
              </w:rPr>
              <w:t>]“)(</w:t>
            </w:r>
            <w:r>
              <w:rPr>
                <w:rStyle w:val="cdc8d7521"/>
              </w:rPr>
              <w:t>Alternative wählen</w:t>
            </w:r>
            <w:r>
              <w:rPr>
                <w:rStyle w:val="cdc8d7491"/>
              </w:rPr>
              <w:t>)</w:t>
            </w:r>
          </w:p>
          <w:p>
            <w:pPr>
              <w:pStyle w:val="NormalWeb"/>
              <w:spacing w:after="240"/>
              <w:jc w:val="center"/>
            </w:pPr>
            <w:r>
              <w:rPr>
                <w:rStyle w:val="cdc8d7491"/>
              </w:rPr>
              <w:t>einerseits</w:t>
            </w:r>
          </w:p>
          <w:p>
            <w:pPr>
              <w:pStyle w:val="NormalWeb"/>
              <w:spacing w:after="240"/>
              <w:jc w:val="center"/>
            </w:pPr>
            <w:r>
              <w:rPr>
                <w:rStyle w:val="cdc8d7491"/>
              </w:rPr>
              <w:t>und</w:t>
            </w:r>
          </w:p>
          <w:p>
            <w:pPr>
              <w:pStyle w:val="NormalWeb"/>
              <w:jc w:val="center"/>
            </w:pPr>
            <w:r>
              <w:rPr>
                <w:rStyle w:val="cdc8d7501"/>
              </w:rPr>
              <w:t>____________________</w:t>
            </w:r>
            <w:r>
              <w:rPr>
                <w:rStyle w:val="cdc8d7491"/>
              </w:rPr>
              <w:t>(</w:t>
            </w:r>
            <w:r>
              <w:rPr>
                <w:rStyle w:val="cdc8d7521"/>
              </w:rPr>
              <w:t>Name/Firma</w:t>
            </w:r>
            <w:r>
              <w:rPr>
                <w:rStyle w:val="cdc8d7491"/>
              </w:rPr>
              <w:t>)</w:t>
            </w:r>
          </w:p>
          <w:p>
            <w:pPr>
              <w:pStyle w:val="NormalWeb"/>
              <w:jc w:val="center"/>
            </w:pPr>
            <w:r>
              <w:rPr>
                <w:rStyle w:val="cdc8d7491"/>
              </w:rPr>
              <w:t xml:space="preserve">einer nach dem Recht von </w:t>
            </w:r>
            <w:r>
              <w:rPr>
                <w:rStyle w:val="cdc8d7501"/>
              </w:rPr>
              <w:t>_______________</w:t>
            </w:r>
            <w:r>
              <w:rPr>
                <w:rStyle w:val="cdc8d7491"/>
              </w:rPr>
              <w:t>(</w:t>
            </w:r>
            <w:r>
              <w:rPr>
                <w:rStyle w:val="cdc8d7521"/>
              </w:rPr>
              <w:t>z.B. Österreich</w:t>
            </w:r>
            <w:r>
              <w:rPr>
                <w:rStyle w:val="cdc8d7491"/>
              </w:rPr>
              <w:t>) errichteten Gesellschaft</w:t>
            </w:r>
          </w:p>
          <w:p>
            <w:pPr>
              <w:pStyle w:val="NormalWeb"/>
              <w:jc w:val="center"/>
            </w:pPr>
            <w:r>
              <w:rPr>
                <w:rStyle w:val="cdc8d7501"/>
              </w:rPr>
              <w:t>______________</w:t>
            </w:r>
            <w:r>
              <w:rPr>
                <w:rStyle w:val="cdc8d7491"/>
              </w:rPr>
              <w:t>(</w:t>
            </w:r>
            <w:r>
              <w:rPr>
                <w:rStyle w:val="cdc8d7521"/>
              </w:rPr>
              <w:t>Firmenbuchnummer</w:t>
            </w:r>
            <w:r>
              <w:rPr>
                <w:rStyle w:val="cdc8d7491"/>
              </w:rPr>
              <w:t xml:space="preserve">), </w:t>
            </w:r>
            <w:r>
              <w:rPr>
                <w:rStyle w:val="cdc8d7501"/>
              </w:rPr>
              <w:lastRenderedPageBreak/>
              <w:t>__________________</w:t>
            </w:r>
            <w:r>
              <w:rPr>
                <w:rStyle w:val="cdc8d7491"/>
              </w:rPr>
              <w:t>(</w:t>
            </w:r>
            <w:r>
              <w:rPr>
                <w:rStyle w:val="cdc8d7521"/>
              </w:rPr>
              <w:t>zuständiges Gericht</w:t>
            </w:r>
            <w:r>
              <w:rPr>
                <w:rStyle w:val="cdc8d7491"/>
              </w:rPr>
              <w:t xml:space="preserve">), mit dem Sitz in </w:t>
            </w:r>
            <w:r>
              <w:rPr>
                <w:rStyle w:val="cdc8d7501"/>
              </w:rPr>
              <w:t>__________</w:t>
            </w:r>
            <w:r>
              <w:rPr>
                <w:rStyle w:val="cdc8d7491"/>
              </w:rPr>
              <w:t>(</w:t>
            </w:r>
            <w:r>
              <w:rPr>
                <w:rStyle w:val="cdc8d7521"/>
              </w:rPr>
              <w:t>Ort</w:t>
            </w:r>
            <w:r>
              <w:rPr>
                <w:rStyle w:val="cdc8d7491"/>
              </w:rPr>
              <w:t>)</w:t>
            </w:r>
          </w:p>
          <w:p>
            <w:pPr>
              <w:pStyle w:val="NormalWeb"/>
              <w:spacing w:after="240"/>
              <w:jc w:val="center"/>
            </w:pPr>
            <w:r>
              <w:rPr>
                <w:rStyle w:val="cdc8d7501"/>
              </w:rPr>
              <w:t>__________________</w:t>
            </w:r>
            <w:r>
              <w:rPr>
                <w:rStyle w:val="cdc8d7491"/>
              </w:rPr>
              <w:t>(</w:t>
            </w:r>
            <w:r>
              <w:rPr>
                <w:rStyle w:val="cdc8d7521"/>
              </w:rPr>
              <w:t>Adresse</w:t>
            </w:r>
            <w:r>
              <w:rPr>
                <w:rStyle w:val="cdc8d7491"/>
              </w:rPr>
              <w:t>)</w:t>
            </w:r>
          </w:p>
          <w:p>
            <w:pPr>
              <w:pStyle w:val="NormalWeb"/>
              <w:spacing w:after="240"/>
              <w:jc w:val="center"/>
            </w:pPr>
            <w:r>
              <w:rPr>
                <w:rStyle w:val="cdc8d7491"/>
              </w:rPr>
              <w:t>(nachstehend „[</w:t>
            </w:r>
            <w:r>
              <w:rPr>
                <w:rStyle w:val="cdc8d7541"/>
              </w:rPr>
              <w:t>übernehmende Partei</w:t>
            </w:r>
            <w:r>
              <w:rPr>
                <w:rStyle w:val="cdc8d7491"/>
              </w:rPr>
              <w:t>] / [</w:t>
            </w:r>
            <w:r>
              <w:rPr>
                <w:rStyle w:val="cdc8d7541"/>
              </w:rPr>
              <w:t>übertragende Partei</w:t>
            </w:r>
            <w:r>
              <w:rPr>
                <w:rStyle w:val="cdc8d7491"/>
              </w:rPr>
              <w:t>]“)(</w:t>
            </w:r>
            <w:r>
              <w:rPr>
                <w:rStyle w:val="cdc8d7521"/>
              </w:rPr>
              <w:t>Alternative wählen</w:t>
            </w:r>
            <w:r>
              <w:rPr>
                <w:rStyle w:val="cdc8d7491"/>
              </w:rPr>
              <w:t>)</w:t>
            </w:r>
          </w:p>
          <w:p>
            <w:pPr>
              <w:pStyle w:val="NormalWeb"/>
              <w:jc w:val="center"/>
            </w:pPr>
            <w:r>
              <w:rPr>
                <w:rStyle w:val="cdc8d7491"/>
              </w:rPr>
              <w:t>andererseits</w:t>
            </w:r>
          </w:p>
          <w:p>
            <w:pPr>
              <w:pStyle w:val="NormalWeb"/>
              <w:spacing w:before="240" w:after="240"/>
              <w:jc w:val="center"/>
              <w:rPr>
                <w:rFonts w:ascii="Arial" w:hAnsi="Arial" w:cs="Arial"/>
                <w:color w:val="000000"/>
              </w:rPr>
            </w:pPr>
            <w:r>
              <w:rPr>
                <w:rStyle w:val="cdc8d7491"/>
              </w:rPr>
              <w:t>(gemeinsam „</w:t>
            </w:r>
            <w:r>
              <w:rPr>
                <w:rStyle w:val="cdc8d7481"/>
              </w:rPr>
              <w:t>Parteien</w:t>
            </w:r>
            <w:r>
              <w:rPr>
                <w:rStyle w:val="cdc8d7491"/>
              </w:rPr>
              <w:t>“)</w:t>
            </w:r>
          </w:p>
        </w:tc>
        <w:tc>
          <w:tcPr>
            <w:tcW w:w="4644" w:type="dxa"/>
          </w:tcPr>
          <w:p>
            <w:pPr>
              <w:pStyle w:val="NormalWeb"/>
              <w:spacing w:before="240" w:after="240"/>
            </w:pPr>
            <w:r>
              <w:rPr>
                <w:rStyle w:val="normal2"/>
              </w:rPr>
              <w:lastRenderedPageBreak/>
              <w:t xml:space="preserve">Die Parteienbezeichnung ist sehr sorgfältig zu prüfen. Es ist zwecks Vermeidung von Unklarheiten wichtig, den korrekten Firmenwortlaut samt Adresse vollständig wiederzugeben und bei Unternehmen auch die Registrierungsnummer (in Österreich: Firmenbuchnummer) anzugeben. Wichtig ist auch, dass zur Vertretung befugte Personen das </w:t>
            </w:r>
            <w:proofErr w:type="spellStart"/>
            <w:r>
              <w:rPr>
                <w:rStyle w:val="normal2"/>
              </w:rPr>
              <w:t>MTA</w:t>
            </w:r>
            <w:proofErr w:type="spellEnd"/>
            <w:r>
              <w:rPr>
                <w:rStyle w:val="normal2"/>
              </w:rPr>
              <w:t xml:space="preserve"> unterfertigen. Bei allen im österreichischen Firmenbuch registrierten Unternehmen ist es durch </w:t>
            </w:r>
            <w:proofErr w:type="spellStart"/>
            <w:r>
              <w:rPr>
                <w:rStyle w:val="normal2"/>
              </w:rPr>
              <w:t>Einschau</w:t>
            </w:r>
            <w:proofErr w:type="spellEnd"/>
            <w:r>
              <w:rPr>
                <w:rStyle w:val="normal2"/>
              </w:rPr>
              <w:t xml:space="preserve"> in das Firmenbuch sehr einfach, die Vertretungsbefugnis zu klären. Bei ausländischen Vertragspartnern ist die Vertretungsbefugnis oft nicht so einfach herauszufinden. Es ist daher oft ratsam, sich diese vom Vertragspartner nachweisen zu </w:t>
            </w:r>
            <w:r>
              <w:rPr>
                <w:rStyle w:val="normal2"/>
              </w:rPr>
              <w:lastRenderedPageBreak/>
              <w:t>lassen.</w:t>
            </w:r>
          </w:p>
          <w:p>
            <w:r>
              <w:rPr>
                <w:rStyle w:val="normal2"/>
              </w:rPr>
              <w:t>Wird die Probe dem Tier in einer Klinik entnommen, ist dafür Sorge zu tragen, dass sie dem richtigen Erwerber, d.h. der Universität bzw. dem Forschungsinstitut übertragen wird und nicht dem Rechtsträger der Klinik oder dem behandelnden Tierarzt.</w:t>
            </w:r>
          </w:p>
        </w:tc>
      </w:tr>
      <w:tr>
        <w:tc>
          <w:tcPr>
            <w:tcW w:w="4644" w:type="dxa"/>
          </w:tcPr>
          <w:p>
            <w:pPr>
              <w:pStyle w:val="NormalWeb"/>
              <w:spacing w:before="240"/>
              <w:jc w:val="center"/>
            </w:pPr>
            <w:r>
              <w:rPr>
                <w:rStyle w:val="c92bff161"/>
              </w:rPr>
              <w:lastRenderedPageBreak/>
              <w:t>1.</w:t>
            </w:r>
          </w:p>
          <w:p>
            <w:pPr>
              <w:spacing w:after="240"/>
              <w:jc w:val="center"/>
            </w:pPr>
            <w:r>
              <w:rPr>
                <w:rStyle w:val="c92bff161"/>
              </w:rPr>
              <w:t>DEFINITIONEN</w:t>
            </w:r>
          </w:p>
        </w:tc>
        <w:tc>
          <w:tcPr>
            <w:tcW w:w="4644" w:type="dxa"/>
          </w:tcPr>
          <w:p>
            <w:pPr>
              <w:pStyle w:val="NormalWeb"/>
              <w:spacing w:before="240" w:after="240"/>
            </w:pPr>
            <w:r>
              <w:rPr>
                <w:rStyle w:val="normal4"/>
              </w:rPr>
              <w:t>Definitionen dienen der Festlegung einheitlicher Begriffe zur Förderung der Verständlichkeit des gesamten Vertragswerkes. Wesentlich ist eine durchgehende und konsistente Verwendung der Definitionen.</w:t>
            </w:r>
          </w:p>
        </w:tc>
      </w:tr>
      <w:tr>
        <w:tc>
          <w:tcPr>
            <w:tcW w:w="4644" w:type="dxa"/>
          </w:tcPr>
          <w:p>
            <w:pPr>
              <w:pStyle w:val="NormalWeb"/>
              <w:spacing w:before="240" w:after="240"/>
            </w:pPr>
            <w:r>
              <w:rPr>
                <w:rStyle w:val="normal3"/>
              </w:rPr>
              <w:t xml:space="preserve">1.1. </w:t>
            </w:r>
            <w:r>
              <w:rPr>
                <w:rStyle w:val="c92bff171"/>
              </w:rPr>
              <w:t>Mustermaterial</w:t>
            </w:r>
            <w:r>
              <w:rPr>
                <w:rStyle w:val="normal3"/>
              </w:rPr>
              <w:t>:</w:t>
            </w:r>
          </w:p>
        </w:tc>
        <w:tc>
          <w:tcPr>
            <w:tcW w:w="4644" w:type="dxa"/>
          </w:tcPr>
          <w:p>
            <w:pPr>
              <w:spacing w:before="240"/>
            </w:pPr>
          </w:p>
        </w:tc>
      </w:tr>
      <w:tr>
        <w:tc>
          <w:tcPr>
            <w:tcW w:w="4644" w:type="dxa"/>
          </w:tcPr>
          <w:p>
            <w:pPr>
              <w:spacing w:before="240"/>
            </w:pPr>
            <w:r>
              <w:rPr>
                <w:rStyle w:val="c92bff171"/>
              </w:rPr>
              <w:t>Mustermaterial</w:t>
            </w:r>
            <w:r>
              <w:rPr>
                <w:rStyle w:val="normal3"/>
              </w:rPr>
              <w:t xml:space="preserve"> bezieht sich auf </w:t>
            </w:r>
            <w:r>
              <w:rPr>
                <w:rStyle w:val="c92bff181"/>
              </w:rPr>
              <w:t>________________</w:t>
            </w:r>
            <w:r>
              <w:rPr>
                <w:rStyle w:val="normal3"/>
              </w:rPr>
              <w:t>(</w:t>
            </w:r>
            <w:r>
              <w:rPr>
                <w:rStyle w:val="c92bff201"/>
              </w:rPr>
              <w:t>Beschreibung des von der übertragenden Partei gelieferten Materials</w:t>
            </w:r>
            <w:r>
              <w:rPr>
                <w:rStyle w:val="normal3"/>
              </w:rPr>
              <w:t>) [</w:t>
            </w:r>
            <w:r>
              <w:rPr>
                <w:rStyle w:val="c92bff211"/>
              </w:rPr>
              <w:t xml:space="preserve">gemäß </w:t>
            </w:r>
            <w:r>
              <w:rPr>
                <w:rStyle w:val="c92bff221"/>
              </w:rPr>
              <w:t>Anlage ./1.1.</w:t>
            </w:r>
            <w:r>
              <w:rPr>
                <w:rStyle w:val="normal3"/>
              </w:rPr>
              <w:t>].</w:t>
            </w:r>
          </w:p>
        </w:tc>
        <w:tc>
          <w:tcPr>
            <w:tcW w:w="4644" w:type="dxa"/>
          </w:tcPr>
          <w:p>
            <w:pPr>
              <w:pStyle w:val="NormalWeb"/>
              <w:spacing w:before="240" w:after="240"/>
            </w:pPr>
            <w:r>
              <w:rPr>
                <w:rStyle w:val="normal4"/>
              </w:rPr>
              <w:t xml:space="preserve">Die Beschreibung des Mustermaterials (Original Material), das übertragen wird, kann gegebenenfalls auch in einer Anlage erfolgen. Wird im Zuge eines </w:t>
            </w:r>
            <w:proofErr w:type="spellStart"/>
            <w:r>
              <w:rPr>
                <w:rStyle w:val="normal4"/>
              </w:rPr>
              <w:t>MTA</w:t>
            </w:r>
            <w:proofErr w:type="spellEnd"/>
            <w:r>
              <w:rPr>
                <w:rStyle w:val="normal4"/>
              </w:rPr>
              <w:t xml:space="preserve"> ein Studienplan (siehe Anlage ./1.7.) erstellt, kann dieser auch die Beschreibung des Materials enthalten, wodurch die Anlage ./1.1. hinfällig wird.</w:t>
            </w:r>
          </w:p>
        </w:tc>
      </w:tr>
      <w:tr>
        <w:tc>
          <w:tcPr>
            <w:tcW w:w="4644" w:type="dxa"/>
          </w:tcPr>
          <w:p>
            <w:pPr>
              <w:pStyle w:val="NormalWeb"/>
              <w:spacing w:before="240" w:after="240"/>
            </w:pPr>
            <w:r>
              <w:rPr>
                <w:rStyle w:val="normal3"/>
              </w:rPr>
              <w:t xml:space="preserve">1.2. </w:t>
            </w:r>
            <w:r>
              <w:rPr>
                <w:rStyle w:val="c92bff241"/>
              </w:rPr>
              <w:t>Option</w:t>
            </w:r>
            <w:r>
              <w:rPr>
                <w:rStyle w:val="normal3"/>
              </w:rPr>
              <w:t>: [</w:t>
            </w:r>
            <w:r>
              <w:rPr>
                <w:rStyle w:val="c92bff171"/>
              </w:rPr>
              <w:t>Nachkommenschaft</w:t>
            </w:r>
            <w:r>
              <w:rPr>
                <w:rStyle w:val="normal3"/>
              </w:rPr>
              <w:t>:</w:t>
            </w:r>
          </w:p>
        </w:tc>
        <w:tc>
          <w:tcPr>
            <w:tcW w:w="4644" w:type="dxa"/>
          </w:tcPr>
          <w:p>
            <w:pPr>
              <w:spacing w:before="240"/>
            </w:pPr>
          </w:p>
        </w:tc>
      </w:tr>
      <w:tr>
        <w:tc>
          <w:tcPr>
            <w:tcW w:w="4644" w:type="dxa"/>
          </w:tcPr>
          <w:p>
            <w:pPr>
              <w:pStyle w:val="NormalWeb"/>
              <w:spacing w:before="240" w:after="240"/>
            </w:pPr>
            <w:r>
              <w:rPr>
                <w:rStyle w:val="c92bff171"/>
              </w:rPr>
              <w:t>Nachkommenschaft</w:t>
            </w:r>
            <w:r>
              <w:rPr>
                <w:rStyle w:val="normal3"/>
              </w:rPr>
              <w:t xml:space="preserve"> bezieht sich auf </w:t>
            </w:r>
            <w:proofErr w:type="spellStart"/>
            <w:r>
              <w:rPr>
                <w:rStyle w:val="normal3"/>
              </w:rPr>
              <w:t>unmodifizierte</w:t>
            </w:r>
            <w:proofErr w:type="spellEnd"/>
            <w:r>
              <w:rPr>
                <w:rStyle w:val="normal3"/>
              </w:rPr>
              <w:t xml:space="preserve"> Abkömmlinge des </w:t>
            </w:r>
            <w:r>
              <w:rPr>
                <w:rStyle w:val="c92bff171"/>
              </w:rPr>
              <w:t>Mustermaterials</w:t>
            </w:r>
            <w:r>
              <w:rPr>
                <w:rStyle w:val="normal3"/>
              </w:rPr>
              <w:t>, z.B. Zellen von Zellen, oder Viren von Viren, oder Organismen von Organismen, einschließlich aus dem Mustermaterial abgeleiteter Stammzellen.]</w:t>
            </w:r>
          </w:p>
        </w:tc>
        <w:tc>
          <w:tcPr>
            <w:tcW w:w="4644" w:type="dxa"/>
          </w:tcPr>
          <w:p>
            <w:pPr>
              <w:spacing w:before="240"/>
            </w:pPr>
          </w:p>
        </w:tc>
      </w:tr>
      <w:tr>
        <w:tc>
          <w:tcPr>
            <w:tcW w:w="4644" w:type="dxa"/>
          </w:tcPr>
          <w:p>
            <w:pPr>
              <w:pStyle w:val="NormalWeb"/>
              <w:spacing w:before="240" w:after="240"/>
            </w:pPr>
            <w:r>
              <w:rPr>
                <w:rStyle w:val="normal3"/>
              </w:rPr>
              <w:t xml:space="preserve">1.3. </w:t>
            </w:r>
            <w:r>
              <w:rPr>
                <w:rStyle w:val="c92bff241"/>
              </w:rPr>
              <w:t>Option</w:t>
            </w:r>
            <w:r>
              <w:rPr>
                <w:rStyle w:val="normal3"/>
              </w:rPr>
              <w:t>: [</w:t>
            </w:r>
            <w:proofErr w:type="spellStart"/>
            <w:r>
              <w:rPr>
                <w:rStyle w:val="c92bff171"/>
              </w:rPr>
              <w:t>Unmodifizierte</w:t>
            </w:r>
            <w:proofErr w:type="spellEnd"/>
            <w:r>
              <w:rPr>
                <w:rStyle w:val="c92bff171"/>
              </w:rPr>
              <w:t xml:space="preserve"> Derivate</w:t>
            </w:r>
            <w:r>
              <w:rPr>
                <w:rStyle w:val="normal3"/>
              </w:rPr>
              <w:t>:</w:t>
            </w:r>
          </w:p>
        </w:tc>
        <w:tc>
          <w:tcPr>
            <w:tcW w:w="4644" w:type="dxa"/>
          </w:tcPr>
          <w:p>
            <w:pPr>
              <w:spacing w:before="240"/>
            </w:pPr>
          </w:p>
        </w:tc>
      </w:tr>
      <w:tr>
        <w:tc>
          <w:tcPr>
            <w:tcW w:w="4644" w:type="dxa"/>
          </w:tcPr>
          <w:p>
            <w:pPr>
              <w:pStyle w:val="NormalWeb"/>
              <w:spacing w:before="240" w:after="240"/>
            </w:pPr>
            <w:proofErr w:type="spellStart"/>
            <w:r>
              <w:rPr>
                <w:rStyle w:val="c92bff171"/>
              </w:rPr>
              <w:t>Unmodifizierte</w:t>
            </w:r>
            <w:proofErr w:type="spellEnd"/>
            <w:r>
              <w:rPr>
                <w:rStyle w:val="c92bff171"/>
              </w:rPr>
              <w:t xml:space="preserve"> Derivate</w:t>
            </w:r>
            <w:r>
              <w:rPr>
                <w:rStyle w:val="normal3"/>
              </w:rPr>
              <w:t xml:space="preserve"> bezieht sich auf von der </w:t>
            </w:r>
            <w:r>
              <w:rPr>
                <w:rStyle w:val="c92bff171"/>
              </w:rPr>
              <w:t>übernehmenden Partei</w:t>
            </w:r>
            <w:r>
              <w:rPr>
                <w:rStyle w:val="normal3"/>
              </w:rPr>
              <w:t xml:space="preserve"> geschaffene Substanzen, die eine </w:t>
            </w:r>
            <w:proofErr w:type="spellStart"/>
            <w:r>
              <w:rPr>
                <w:rStyle w:val="normal3"/>
              </w:rPr>
              <w:t>unmodifizierte</w:t>
            </w:r>
            <w:proofErr w:type="spellEnd"/>
            <w:r>
              <w:rPr>
                <w:rStyle w:val="normal3"/>
              </w:rPr>
              <w:t xml:space="preserve"> funktionale Untereinheit des </w:t>
            </w:r>
            <w:r>
              <w:rPr>
                <w:rStyle w:val="c92bff171"/>
              </w:rPr>
              <w:t>Mustermaterials</w:t>
            </w:r>
            <w:r>
              <w:rPr>
                <w:rStyle w:val="normal3"/>
              </w:rPr>
              <w:t xml:space="preserve"> oder ein aus diesem hervorgegangenes Produkt darstellen. Dazu gehören beispielsweise: gereinigte oder fraktionierte Teile des </w:t>
            </w:r>
            <w:r>
              <w:rPr>
                <w:rStyle w:val="c92bff171"/>
              </w:rPr>
              <w:t>Mustermaterials</w:t>
            </w:r>
            <w:r>
              <w:rPr>
                <w:rStyle w:val="normal3"/>
              </w:rPr>
              <w:t xml:space="preserve"> oder </w:t>
            </w:r>
            <w:proofErr w:type="spellStart"/>
            <w:r>
              <w:rPr>
                <w:rStyle w:val="normal3"/>
              </w:rPr>
              <w:t>Subklone</w:t>
            </w:r>
            <w:proofErr w:type="spellEnd"/>
            <w:r>
              <w:rPr>
                <w:rStyle w:val="normal3"/>
              </w:rPr>
              <w:t xml:space="preserve"> </w:t>
            </w:r>
            <w:proofErr w:type="spellStart"/>
            <w:r>
              <w:rPr>
                <w:rStyle w:val="normal3"/>
              </w:rPr>
              <w:t>unmodifizierter</w:t>
            </w:r>
            <w:proofErr w:type="spellEnd"/>
            <w:r>
              <w:rPr>
                <w:rStyle w:val="normal3"/>
              </w:rPr>
              <w:t xml:space="preserve"> Zelllinien, aus der </w:t>
            </w:r>
            <w:r>
              <w:rPr>
                <w:rStyle w:val="normal3"/>
              </w:rPr>
              <w:lastRenderedPageBreak/>
              <w:t xml:space="preserve">von der </w:t>
            </w:r>
            <w:r>
              <w:rPr>
                <w:rStyle w:val="c92bff171"/>
              </w:rPr>
              <w:t>übertragenden Partei</w:t>
            </w:r>
            <w:r>
              <w:rPr>
                <w:rStyle w:val="normal3"/>
              </w:rPr>
              <w:t xml:space="preserve"> bereitgestellten DNA/</w:t>
            </w:r>
            <w:proofErr w:type="spellStart"/>
            <w:r>
              <w:rPr>
                <w:rStyle w:val="normal3"/>
              </w:rPr>
              <w:t>RNA</w:t>
            </w:r>
            <w:proofErr w:type="spellEnd"/>
            <w:r>
              <w:rPr>
                <w:rStyle w:val="normal3"/>
              </w:rPr>
              <w:t xml:space="preserve"> hervorgegangene Proteine, oder von einer </w:t>
            </w:r>
            <w:proofErr w:type="spellStart"/>
            <w:r>
              <w:rPr>
                <w:rStyle w:val="normal3"/>
              </w:rPr>
              <w:t>Hybridom</w:t>
            </w:r>
            <w:proofErr w:type="spellEnd"/>
            <w:r>
              <w:rPr>
                <w:rStyle w:val="normal3"/>
              </w:rPr>
              <w:t xml:space="preserve">-Zelllinie sezernierte </w:t>
            </w:r>
            <w:proofErr w:type="spellStart"/>
            <w:r>
              <w:rPr>
                <w:rStyle w:val="normal3"/>
              </w:rPr>
              <w:t>monoklonale</w:t>
            </w:r>
            <w:proofErr w:type="spellEnd"/>
            <w:r>
              <w:rPr>
                <w:rStyle w:val="normal3"/>
              </w:rPr>
              <w:t xml:space="preserve"> Antikörper.]</w:t>
            </w:r>
          </w:p>
        </w:tc>
        <w:tc>
          <w:tcPr>
            <w:tcW w:w="4644" w:type="dxa"/>
          </w:tcPr>
          <w:p>
            <w:pPr>
              <w:spacing w:before="240"/>
            </w:pPr>
          </w:p>
        </w:tc>
      </w:tr>
      <w:tr>
        <w:tc>
          <w:tcPr>
            <w:tcW w:w="4644" w:type="dxa"/>
          </w:tcPr>
          <w:p>
            <w:pPr>
              <w:pStyle w:val="NormalWeb"/>
              <w:spacing w:before="240" w:after="240"/>
            </w:pPr>
            <w:r>
              <w:rPr>
                <w:rStyle w:val="normal3"/>
              </w:rPr>
              <w:lastRenderedPageBreak/>
              <w:t xml:space="preserve">1.4. </w:t>
            </w:r>
            <w:r>
              <w:rPr>
                <w:rStyle w:val="c92bff241"/>
              </w:rPr>
              <w:t>Option</w:t>
            </w:r>
            <w:r>
              <w:rPr>
                <w:rStyle w:val="normal3"/>
              </w:rPr>
              <w:t>: [</w:t>
            </w:r>
            <w:r>
              <w:rPr>
                <w:rStyle w:val="c92bff171"/>
              </w:rPr>
              <w:t>Daten</w:t>
            </w:r>
            <w:r>
              <w:rPr>
                <w:rStyle w:val="normal3"/>
              </w:rPr>
              <w:t>:</w:t>
            </w:r>
          </w:p>
        </w:tc>
        <w:tc>
          <w:tcPr>
            <w:tcW w:w="4644" w:type="dxa"/>
          </w:tcPr>
          <w:p>
            <w:pPr>
              <w:spacing w:before="240"/>
            </w:pPr>
          </w:p>
        </w:tc>
      </w:tr>
      <w:tr>
        <w:tc>
          <w:tcPr>
            <w:tcW w:w="4644" w:type="dxa"/>
          </w:tcPr>
          <w:p>
            <w:pPr>
              <w:spacing w:before="240"/>
            </w:pPr>
            <w:r>
              <w:rPr>
                <w:rStyle w:val="c92bff171"/>
              </w:rPr>
              <w:t>Daten</w:t>
            </w:r>
            <w:r>
              <w:rPr>
                <w:rStyle w:val="normal3"/>
              </w:rPr>
              <w:t xml:space="preserve"> bezieht sich auf Daten und Informationen (Beschreibung: </w:t>
            </w:r>
            <w:r>
              <w:rPr>
                <w:rStyle w:val="c92bff181"/>
              </w:rPr>
              <w:t>________________</w:t>
            </w:r>
            <w:r>
              <w:rPr>
                <w:rStyle w:val="normal3"/>
              </w:rPr>
              <w:t xml:space="preserve">), wie sie in </w:t>
            </w:r>
            <w:r>
              <w:rPr>
                <w:rStyle w:val="c92bff171"/>
              </w:rPr>
              <w:t>Anlage ./1.4.</w:t>
            </w:r>
            <w:r>
              <w:rPr>
                <w:rStyle w:val="normal3"/>
              </w:rPr>
              <w:t xml:space="preserve"> in Bezug auf das Material [</w:t>
            </w:r>
            <w:r>
              <w:rPr>
                <w:rStyle w:val="c92bff211"/>
              </w:rPr>
              <w:t xml:space="preserve">gemäß </w:t>
            </w:r>
            <w:r>
              <w:rPr>
                <w:rStyle w:val="c92bff221"/>
              </w:rPr>
              <w:t>Anlage ./1.4.</w:t>
            </w:r>
            <w:r>
              <w:rPr>
                <w:rStyle w:val="normal3"/>
              </w:rPr>
              <w:t xml:space="preserve">] und die </w:t>
            </w:r>
            <w:r>
              <w:rPr>
                <w:rStyle w:val="c92bff171"/>
              </w:rPr>
              <w:t>Modifikationen</w:t>
            </w:r>
            <w:r>
              <w:rPr>
                <w:rStyle w:val="normal3"/>
              </w:rPr>
              <w:t xml:space="preserve"> beschrieben werden.]</w:t>
            </w:r>
          </w:p>
        </w:tc>
        <w:tc>
          <w:tcPr>
            <w:tcW w:w="4644" w:type="dxa"/>
          </w:tcPr>
          <w:p>
            <w:pPr>
              <w:pStyle w:val="NormalWeb"/>
              <w:spacing w:before="240"/>
            </w:pPr>
            <w:r>
              <w:rPr>
                <w:rStyle w:val="normal4"/>
              </w:rPr>
              <w:t xml:space="preserve">Es kann sein, dass neben dem Biomaterial auch Daten, insbesondere über den Tierhalter, übergeben werden. Sind diese Daten personenbezogen, sind insbesondere die Anwendung datenschutzrechtlicher Bestimmungen zu prüfen. Siehe dazu im Detail Human Biomaterial </w:t>
            </w:r>
            <w:proofErr w:type="spellStart"/>
            <w:r>
              <w:rPr>
                <w:rStyle w:val="normal4"/>
              </w:rPr>
              <w:t>MTA</w:t>
            </w:r>
            <w:proofErr w:type="spellEnd"/>
            <w:r>
              <w:rPr>
                <w:rStyle w:val="normal4"/>
              </w:rPr>
              <w:t>.</w:t>
            </w:r>
          </w:p>
          <w:p>
            <w:pPr>
              <w:pStyle w:val="NormalWeb"/>
              <w:spacing w:before="240" w:after="240"/>
            </w:pPr>
            <w:r>
              <w:rPr>
                <w:rStyle w:val="normal4"/>
              </w:rPr>
              <w:t xml:space="preserve">Die Beschreibung der Daten kann gegebenenfalls auch in einer Anlage erfolgen. Wird im Zuge eines </w:t>
            </w:r>
            <w:proofErr w:type="spellStart"/>
            <w:r>
              <w:rPr>
                <w:rStyle w:val="normal4"/>
              </w:rPr>
              <w:t>MTA</w:t>
            </w:r>
            <w:proofErr w:type="spellEnd"/>
            <w:r>
              <w:rPr>
                <w:rStyle w:val="normal4"/>
              </w:rPr>
              <w:t xml:space="preserve"> ein Studienplan (siehe Anlage ./1.7.) erstellt, kann dieser auch die Beschreibung der Daten enthalten, wodurch die Anlage ./1.4. hinfällig wird.</w:t>
            </w:r>
          </w:p>
        </w:tc>
      </w:tr>
      <w:tr>
        <w:tc>
          <w:tcPr>
            <w:tcW w:w="4644" w:type="dxa"/>
          </w:tcPr>
          <w:p>
            <w:pPr>
              <w:pStyle w:val="NormalWeb"/>
              <w:spacing w:before="240" w:after="240"/>
            </w:pPr>
            <w:r>
              <w:rPr>
                <w:rStyle w:val="normal3"/>
              </w:rPr>
              <w:t xml:space="preserve">1.5. </w:t>
            </w:r>
            <w:r>
              <w:rPr>
                <w:rStyle w:val="c92bff171"/>
              </w:rPr>
              <w:t>Material</w:t>
            </w:r>
            <w:r>
              <w:rPr>
                <w:rStyle w:val="normal3"/>
              </w:rPr>
              <w:t>:</w:t>
            </w:r>
          </w:p>
        </w:tc>
        <w:tc>
          <w:tcPr>
            <w:tcW w:w="4644" w:type="dxa"/>
          </w:tcPr>
          <w:p>
            <w:pPr>
              <w:spacing w:before="240"/>
            </w:pPr>
          </w:p>
        </w:tc>
      </w:tr>
      <w:tr>
        <w:tc>
          <w:tcPr>
            <w:tcW w:w="4644" w:type="dxa"/>
          </w:tcPr>
          <w:p>
            <w:pPr>
              <w:pStyle w:val="NormalWeb"/>
              <w:spacing w:before="240" w:after="240"/>
            </w:pPr>
            <w:r>
              <w:rPr>
                <w:rStyle w:val="c92bff171"/>
              </w:rPr>
              <w:t>Material</w:t>
            </w:r>
            <w:r>
              <w:rPr>
                <w:rStyle w:val="normal3"/>
              </w:rPr>
              <w:t xml:space="preserve"> bedeutet </w:t>
            </w:r>
            <w:r>
              <w:rPr>
                <w:rStyle w:val="c92bff171"/>
              </w:rPr>
              <w:t>Mustermaterial</w:t>
            </w:r>
            <w:r>
              <w:rPr>
                <w:rStyle w:val="normal3"/>
              </w:rPr>
              <w:t xml:space="preserve"> [</w:t>
            </w:r>
            <w:r>
              <w:rPr>
                <w:rStyle w:val="c92bff211"/>
              </w:rPr>
              <w:t xml:space="preserve">, </w:t>
            </w:r>
            <w:r>
              <w:rPr>
                <w:rStyle w:val="c92bff221"/>
              </w:rPr>
              <w:t>Nachkommenschaft</w:t>
            </w:r>
            <w:r>
              <w:rPr>
                <w:rStyle w:val="c92bff211"/>
              </w:rPr>
              <w:t xml:space="preserve">, </w:t>
            </w:r>
            <w:proofErr w:type="spellStart"/>
            <w:r>
              <w:rPr>
                <w:rStyle w:val="c92bff221"/>
              </w:rPr>
              <w:t>unmodifizierte</w:t>
            </w:r>
            <w:proofErr w:type="spellEnd"/>
            <w:r>
              <w:rPr>
                <w:rStyle w:val="c92bff221"/>
              </w:rPr>
              <w:t xml:space="preserve"> Derivate</w:t>
            </w:r>
            <w:r>
              <w:rPr>
                <w:rStyle w:val="c92bff211"/>
              </w:rPr>
              <w:t xml:space="preserve"> und </w:t>
            </w:r>
            <w:r>
              <w:rPr>
                <w:rStyle w:val="c92bff221"/>
              </w:rPr>
              <w:t>Daten</w:t>
            </w:r>
            <w:r>
              <w:rPr>
                <w:rStyle w:val="c92bff211"/>
              </w:rPr>
              <w:t>.</w:t>
            </w:r>
            <w:r>
              <w:rPr>
                <w:rStyle w:val="normal3"/>
              </w:rPr>
              <w:t>]</w:t>
            </w:r>
          </w:p>
        </w:tc>
        <w:tc>
          <w:tcPr>
            <w:tcW w:w="4644" w:type="dxa"/>
          </w:tcPr>
          <w:p>
            <w:pPr>
              <w:spacing w:before="240"/>
            </w:pPr>
          </w:p>
        </w:tc>
      </w:tr>
      <w:tr>
        <w:tc>
          <w:tcPr>
            <w:tcW w:w="4644" w:type="dxa"/>
          </w:tcPr>
          <w:p>
            <w:pPr>
              <w:pStyle w:val="NormalWeb"/>
              <w:spacing w:before="240" w:after="240"/>
            </w:pPr>
            <w:r>
              <w:rPr>
                <w:rStyle w:val="normal3"/>
              </w:rPr>
              <w:t xml:space="preserve">1.6. </w:t>
            </w:r>
            <w:r>
              <w:rPr>
                <w:rStyle w:val="c92bff171"/>
              </w:rPr>
              <w:t>Modifikationen</w:t>
            </w:r>
            <w:r>
              <w:rPr>
                <w:rStyle w:val="normal3"/>
              </w:rPr>
              <w:t>:</w:t>
            </w:r>
          </w:p>
        </w:tc>
        <w:tc>
          <w:tcPr>
            <w:tcW w:w="4644" w:type="dxa"/>
          </w:tcPr>
          <w:p>
            <w:pPr>
              <w:spacing w:before="240"/>
            </w:pPr>
          </w:p>
        </w:tc>
      </w:tr>
      <w:tr>
        <w:tc>
          <w:tcPr>
            <w:tcW w:w="4644" w:type="dxa"/>
          </w:tcPr>
          <w:p>
            <w:pPr>
              <w:pStyle w:val="NormalWeb"/>
              <w:spacing w:before="240" w:after="240"/>
            </w:pPr>
            <w:r>
              <w:rPr>
                <w:rStyle w:val="c92bff171"/>
              </w:rPr>
              <w:t>Modifikationen</w:t>
            </w:r>
            <w:r>
              <w:rPr>
                <w:rStyle w:val="normal3"/>
              </w:rPr>
              <w:t xml:space="preserve"> sind von der </w:t>
            </w:r>
            <w:r>
              <w:rPr>
                <w:rStyle w:val="c92bff171"/>
              </w:rPr>
              <w:t>übernehmenden Partei</w:t>
            </w:r>
            <w:r>
              <w:rPr>
                <w:rStyle w:val="normal3"/>
              </w:rPr>
              <w:t xml:space="preserve"> (Beschreibung: </w:t>
            </w:r>
            <w:r>
              <w:rPr>
                <w:rStyle w:val="c92bff181"/>
              </w:rPr>
              <w:t>________________</w:t>
            </w:r>
            <w:r>
              <w:rPr>
                <w:rStyle w:val="normal3"/>
              </w:rPr>
              <w:t xml:space="preserve">) geschaffene Substanzen, die - in welcher Form auch immer - das </w:t>
            </w:r>
            <w:r>
              <w:rPr>
                <w:rStyle w:val="c92bff171"/>
              </w:rPr>
              <w:t>Material</w:t>
            </w:r>
            <w:r>
              <w:rPr>
                <w:rStyle w:val="normal3"/>
              </w:rPr>
              <w:t xml:space="preserve"> enthalten, aufgenommen oder verändert haben.</w:t>
            </w:r>
          </w:p>
        </w:tc>
        <w:tc>
          <w:tcPr>
            <w:tcW w:w="4644" w:type="dxa"/>
          </w:tcPr>
          <w:p>
            <w:pPr>
              <w:spacing w:before="240"/>
            </w:pPr>
          </w:p>
        </w:tc>
      </w:tr>
      <w:tr>
        <w:tc>
          <w:tcPr>
            <w:tcW w:w="4644" w:type="dxa"/>
          </w:tcPr>
          <w:p>
            <w:pPr>
              <w:pStyle w:val="NormalWeb"/>
              <w:spacing w:before="240" w:after="240"/>
            </w:pPr>
            <w:r>
              <w:rPr>
                <w:rStyle w:val="normal3"/>
              </w:rPr>
              <w:t xml:space="preserve">1.7. </w:t>
            </w:r>
            <w:r>
              <w:rPr>
                <w:rStyle w:val="c92bff171"/>
              </w:rPr>
              <w:t>Zweck</w:t>
            </w:r>
            <w:r>
              <w:rPr>
                <w:rStyle w:val="normal3"/>
              </w:rPr>
              <w:t>:</w:t>
            </w:r>
          </w:p>
        </w:tc>
        <w:tc>
          <w:tcPr>
            <w:tcW w:w="4644" w:type="dxa"/>
          </w:tcPr>
          <w:p>
            <w:pPr>
              <w:spacing w:before="240"/>
            </w:pPr>
          </w:p>
        </w:tc>
      </w:tr>
      <w:tr>
        <w:tc>
          <w:tcPr>
            <w:tcW w:w="4644" w:type="dxa"/>
          </w:tcPr>
          <w:p>
            <w:pPr>
              <w:spacing w:before="240"/>
            </w:pPr>
            <w:r>
              <w:rPr>
                <w:rStyle w:val="c92bff171"/>
              </w:rPr>
              <w:t>Zweck</w:t>
            </w:r>
            <w:r>
              <w:rPr>
                <w:rStyle w:val="normal3"/>
              </w:rPr>
              <w:t xml:space="preserve"> ist </w:t>
            </w:r>
            <w:r>
              <w:rPr>
                <w:rStyle w:val="c92bff181"/>
              </w:rPr>
              <w:t>________________</w:t>
            </w:r>
            <w:r>
              <w:rPr>
                <w:rStyle w:val="normal3"/>
              </w:rPr>
              <w:t>(</w:t>
            </w:r>
            <w:r>
              <w:rPr>
                <w:rStyle w:val="c92bff201"/>
              </w:rPr>
              <w:t>konkrete und ausführliche Beschreibung dessen, was genau die übernehmende Partei mit dem Material tun darf, Definition der jeweiligen Projekte und konkrete Beschreibung des Zwecks oder der Produkte, in die das Material eingearbeitet wird oder die damit entwickelt werden</w:t>
            </w:r>
            <w:r>
              <w:rPr>
                <w:rStyle w:val="normal3"/>
              </w:rPr>
              <w:t>)[</w:t>
            </w:r>
            <w:r>
              <w:rPr>
                <w:rStyle w:val="c92bff211"/>
              </w:rPr>
              <w:t xml:space="preserve">, wie in dem als </w:t>
            </w:r>
            <w:r>
              <w:rPr>
                <w:rStyle w:val="c92bff221"/>
              </w:rPr>
              <w:t>Anlage./1.7.</w:t>
            </w:r>
            <w:r>
              <w:rPr>
                <w:rStyle w:val="c92bff211"/>
              </w:rPr>
              <w:t xml:space="preserve"> angeschlossenen Studienplan näher beschrieben</w:t>
            </w:r>
            <w:r>
              <w:rPr>
                <w:rStyle w:val="normal3"/>
              </w:rPr>
              <w:t>].</w:t>
            </w:r>
          </w:p>
        </w:tc>
        <w:tc>
          <w:tcPr>
            <w:tcW w:w="4644" w:type="dxa"/>
          </w:tcPr>
          <w:p>
            <w:pPr>
              <w:pStyle w:val="NormalWeb"/>
              <w:spacing w:before="240" w:after="240"/>
            </w:pPr>
            <w:r>
              <w:rPr>
                <w:rStyle w:val="normal4"/>
              </w:rPr>
              <w:t xml:space="preserve">Gegenstand dieses </w:t>
            </w:r>
            <w:proofErr w:type="spellStart"/>
            <w:r>
              <w:rPr>
                <w:rStyle w:val="normal4"/>
              </w:rPr>
              <w:t>MTA</w:t>
            </w:r>
            <w:proofErr w:type="spellEnd"/>
            <w:r>
              <w:rPr>
                <w:rStyle w:val="normal4"/>
              </w:rPr>
              <w:t xml:space="preserve"> ist die Zurverfügungstellung von typischerweise Gewebeproben, Blut oder anderen Körperflüssigkeiten, Organen, sowie Zellen oder DNA-Proben tierischen Ursprungs („Biomaterialien“) samt allfälliger dazugehöriger Daten des Tierhalters für die vorwiegend medizinische Forschung, wobei </w:t>
            </w:r>
            <w:r>
              <w:rPr>
                <w:rStyle w:val="normal4"/>
              </w:rPr>
              <w:lastRenderedPageBreak/>
              <w:t>für diese Zwecke auch das Eigentum an diesen Proben übertragen werden kann aber nicht muss.</w:t>
            </w:r>
          </w:p>
          <w:p>
            <w:pPr>
              <w:pStyle w:val="NormalWeb"/>
              <w:spacing w:after="240"/>
            </w:pPr>
            <w:r>
              <w:rPr>
                <w:rStyle w:val="normal4"/>
              </w:rPr>
              <w:t xml:space="preserve">Research erfasst nach der in diesem </w:t>
            </w:r>
            <w:proofErr w:type="spellStart"/>
            <w:r>
              <w:rPr>
                <w:rStyle w:val="normal4"/>
              </w:rPr>
              <w:t>MTA</w:t>
            </w:r>
            <w:proofErr w:type="spellEnd"/>
            <w:r>
              <w:rPr>
                <w:rStyle w:val="normal4"/>
              </w:rPr>
              <w:t xml:space="preserve"> gewählten Definition jede Form der wissenschaftlichen und kommerziellen Forschung einschließlich Tierbetreuung. Einschränkungen dazu sind ausdrücklich zu vereinbaren.</w:t>
            </w:r>
          </w:p>
          <w:p>
            <w:pPr>
              <w:pStyle w:val="NormalWeb"/>
              <w:spacing w:after="240"/>
            </w:pPr>
            <w:r>
              <w:rPr>
                <w:rStyle w:val="normal4"/>
              </w:rPr>
              <w:t xml:space="preserve">Der Umfang der Nutzung im Rahmen des </w:t>
            </w:r>
            <w:proofErr w:type="spellStart"/>
            <w:r>
              <w:rPr>
                <w:rStyle w:val="normal4"/>
              </w:rPr>
              <w:t>MTA</w:t>
            </w:r>
            <w:proofErr w:type="spellEnd"/>
            <w:r>
              <w:rPr>
                <w:rStyle w:val="normal4"/>
              </w:rPr>
              <w:t xml:space="preserve"> hängt sehr wesentlich von der konkreten Definition des Zwecks ab. Der Zweck ist daher mit besonderer Sorgfalt zu formulieren. Die Definition des Zwecks umfasst prinzipiell jede Form der Forschung (nicht-kommerzielle Forschung, Lehre und Tierbetreuung, kommerzielle Forschung), sofern nicht ausdrücklich anders geregelt. Es kann aber auch definiert werden, dass z.B. Testreihen, Evaluierungen, etc. durchgeführt werden. </w:t>
            </w:r>
          </w:p>
          <w:p>
            <w:pPr>
              <w:pStyle w:val="NormalWeb"/>
              <w:spacing w:after="240"/>
            </w:pPr>
            <w:r>
              <w:rPr>
                <w:rStyle w:val="normal4"/>
              </w:rPr>
              <w:t xml:space="preserve">Zu beachten sind </w:t>
            </w:r>
            <w:r>
              <w:rPr>
                <w:rStyle w:val="caf4e791"/>
              </w:rPr>
              <w:t>Forschungsverbote, -einschränkungen</w:t>
            </w:r>
            <w:r>
              <w:rPr>
                <w:rStyle w:val="normal4"/>
              </w:rPr>
              <w:t>: Tierschutzgesetz, Tierversuchsgesetz falls Proben am lebenden Tier genommen werden, ev. auch tierbezogene Beschränkungen im Gentechnikgesetz.</w:t>
            </w:r>
          </w:p>
        </w:tc>
      </w:tr>
      <w:tr>
        <w:tc>
          <w:tcPr>
            <w:tcW w:w="4644" w:type="dxa"/>
          </w:tcPr>
          <w:p>
            <w:pPr>
              <w:pStyle w:val="NormalWeb"/>
              <w:spacing w:before="240" w:after="240"/>
            </w:pPr>
            <w:r>
              <w:rPr>
                <w:rStyle w:val="normal3"/>
              </w:rPr>
              <w:lastRenderedPageBreak/>
              <w:t>[</w:t>
            </w:r>
            <w:r>
              <w:rPr>
                <w:rStyle w:val="c92bff241"/>
              </w:rPr>
              <w:t>Option</w:t>
            </w:r>
            <w:r>
              <w:rPr>
                <w:rStyle w:val="normal3"/>
              </w:rPr>
              <w:t xml:space="preserve">: </w:t>
            </w:r>
            <w:r>
              <w:rPr>
                <w:rStyle w:val="c92bff171"/>
              </w:rPr>
              <w:t>Zweck</w:t>
            </w:r>
            <w:r>
              <w:rPr>
                <w:rStyle w:val="normal3"/>
              </w:rPr>
              <w:t xml:space="preserve"> ist es, das </w:t>
            </w:r>
            <w:r>
              <w:rPr>
                <w:rStyle w:val="c92bff171"/>
              </w:rPr>
              <w:t>Material</w:t>
            </w:r>
            <w:r>
              <w:rPr>
                <w:rStyle w:val="normal3"/>
              </w:rPr>
              <w:t xml:space="preserve"> oder die </w:t>
            </w:r>
            <w:r>
              <w:rPr>
                <w:rStyle w:val="c92bff171"/>
              </w:rPr>
              <w:t>Modifikationen</w:t>
            </w:r>
            <w:r>
              <w:rPr>
                <w:rStyle w:val="normal3"/>
              </w:rPr>
              <w:t xml:space="preserve"> ausschließlich für die </w:t>
            </w:r>
            <w:r>
              <w:rPr>
                <w:rStyle w:val="normal3"/>
                <w:b/>
              </w:rPr>
              <w:t>Forschung</w:t>
            </w:r>
            <w:r>
              <w:rPr>
                <w:rStyle w:val="normal3"/>
              </w:rPr>
              <w:t xml:space="preserve"> [</w:t>
            </w:r>
            <w:r>
              <w:rPr>
                <w:rStyle w:val="c92bff241"/>
              </w:rPr>
              <w:t>Alternative</w:t>
            </w:r>
            <w:r>
              <w:rPr>
                <w:rStyle w:val="normal3"/>
              </w:rPr>
              <w:t xml:space="preserve">: </w:t>
            </w:r>
            <w:r>
              <w:rPr>
                <w:rStyle w:val="c92bff171"/>
              </w:rPr>
              <w:t>Forschung</w:t>
            </w:r>
            <w:r>
              <w:rPr>
                <w:rStyle w:val="normal3"/>
              </w:rPr>
              <w:t xml:space="preserve"> ausgenommen (</w:t>
            </w:r>
            <w:r>
              <w:rPr>
                <w:rStyle w:val="c92bff201"/>
              </w:rPr>
              <w:t>Ausnahmen hinzufügen z.B. Auftragsforschung</w:t>
            </w:r>
            <w:r>
              <w:rPr>
                <w:rStyle w:val="normal3"/>
              </w:rPr>
              <w:t xml:space="preserve">)] </w:t>
            </w:r>
            <w:r>
              <w:rPr>
                <w:rStyle w:val="c92bff181"/>
              </w:rPr>
              <w:t>________________</w:t>
            </w:r>
            <w:r>
              <w:rPr>
                <w:rStyle w:val="normal3"/>
              </w:rPr>
              <w:t xml:space="preserve"> (</w:t>
            </w:r>
            <w:r>
              <w:rPr>
                <w:rStyle w:val="c92bff201"/>
              </w:rPr>
              <w:t>konkrete und ausführliche Beschreibung der Projekte hinzufügen</w:t>
            </w:r>
            <w:r>
              <w:rPr>
                <w:rStyle w:val="normal3"/>
              </w:rPr>
              <w:t xml:space="preserve">) </w:t>
            </w:r>
            <w:r>
              <w:rPr>
                <w:rStyle w:val="c92bff181"/>
              </w:rPr>
              <w:t>________________</w:t>
            </w:r>
            <w:r>
              <w:rPr>
                <w:rStyle w:val="normal3"/>
              </w:rPr>
              <w:t xml:space="preserve"> [</w:t>
            </w:r>
            <w:r>
              <w:rPr>
                <w:rStyle w:val="c92bff211"/>
              </w:rPr>
              <w:t xml:space="preserve">wie in dem als </w:t>
            </w:r>
            <w:r>
              <w:rPr>
                <w:rStyle w:val="c92bff221"/>
              </w:rPr>
              <w:t>Anlage./1.7.</w:t>
            </w:r>
            <w:r>
              <w:rPr>
                <w:rStyle w:val="c92bff211"/>
              </w:rPr>
              <w:t xml:space="preserve"> angeschlossenen Studienplan näher beschrieben</w:t>
            </w:r>
            <w:r>
              <w:rPr>
                <w:rStyle w:val="normal3"/>
              </w:rPr>
              <w:t>] [</w:t>
            </w:r>
            <w:r>
              <w:rPr>
                <w:rStyle w:val="c92bff211"/>
              </w:rPr>
              <w:t>in Zusammenhang mit Versuchstieren oder für In-Vitro-Experimente</w:t>
            </w:r>
            <w:r>
              <w:rPr>
                <w:rStyle w:val="normal3"/>
              </w:rPr>
              <w:t>] zur Verfügung zu stellen.].</w:t>
            </w:r>
          </w:p>
        </w:tc>
        <w:tc>
          <w:tcPr>
            <w:tcW w:w="4644" w:type="dxa"/>
          </w:tcPr>
          <w:p>
            <w:pPr>
              <w:spacing w:before="240"/>
            </w:pPr>
          </w:p>
        </w:tc>
      </w:tr>
      <w:tr>
        <w:tc>
          <w:tcPr>
            <w:tcW w:w="4644" w:type="dxa"/>
          </w:tcPr>
          <w:p>
            <w:pPr>
              <w:pStyle w:val="NormalWeb"/>
              <w:spacing w:before="240" w:after="240"/>
            </w:pPr>
            <w:r>
              <w:rPr>
                <w:rStyle w:val="normal3"/>
              </w:rPr>
              <w:t xml:space="preserve">1.8. </w:t>
            </w:r>
            <w:r>
              <w:rPr>
                <w:rStyle w:val="c92bff171"/>
              </w:rPr>
              <w:t>Unzulässige Nutzung</w:t>
            </w:r>
            <w:r>
              <w:rPr>
                <w:rStyle w:val="normal3"/>
              </w:rPr>
              <w:t>:</w:t>
            </w:r>
          </w:p>
        </w:tc>
        <w:tc>
          <w:tcPr>
            <w:tcW w:w="4644" w:type="dxa"/>
          </w:tcPr>
          <w:p/>
        </w:tc>
      </w:tr>
      <w:tr>
        <w:tc>
          <w:tcPr>
            <w:tcW w:w="4644" w:type="dxa"/>
          </w:tcPr>
          <w:p>
            <w:pPr>
              <w:pStyle w:val="NormalWeb"/>
              <w:spacing w:before="240" w:after="240"/>
            </w:pPr>
            <w:r>
              <w:rPr>
                <w:rStyle w:val="c92bff171"/>
              </w:rPr>
              <w:t>Unzulässige Nutzung</w:t>
            </w:r>
            <w:r>
              <w:rPr>
                <w:rStyle w:val="normal3"/>
              </w:rPr>
              <w:t xml:space="preserve"> bezieht sich auf jede Nutzung außerhalb des </w:t>
            </w:r>
            <w:r>
              <w:rPr>
                <w:rStyle w:val="c92bff171"/>
              </w:rPr>
              <w:t>Zwecks</w:t>
            </w:r>
            <w:r>
              <w:rPr>
                <w:rStyle w:val="normal3"/>
              </w:rPr>
              <w:t>.</w:t>
            </w:r>
          </w:p>
        </w:tc>
        <w:tc>
          <w:tcPr>
            <w:tcW w:w="4644" w:type="dxa"/>
          </w:tcPr>
          <w:p>
            <w:pPr>
              <w:pStyle w:val="NormalWeb"/>
              <w:spacing w:before="240" w:after="240"/>
            </w:pPr>
            <w:r>
              <w:rPr>
                <w:rStyle w:val="normal4"/>
              </w:rPr>
              <w:t>Es kann ein ausdrücklicher Ausschluss von Aktivitäten in Bezug auf das Material (z.B. jede Form der kommerziellen Forschung, oder besondere Formen der Untersuchung etc…) vorgenommen werden. Tatsächlich wird aber der Umfang der Verwendung bereits aus dem Zweck („</w:t>
            </w:r>
            <w:proofErr w:type="spellStart"/>
            <w:r>
              <w:rPr>
                <w:rStyle w:val="normal4"/>
              </w:rPr>
              <w:t>Purpose</w:t>
            </w:r>
            <w:proofErr w:type="spellEnd"/>
            <w:r>
              <w:rPr>
                <w:rStyle w:val="normal4"/>
              </w:rPr>
              <w:t xml:space="preserve">“) definiert, woraus sich indirekt bereits ergibt, dass </w:t>
            </w:r>
            <w:r>
              <w:rPr>
                <w:rStyle w:val="normal4"/>
              </w:rPr>
              <w:lastRenderedPageBreak/>
              <w:t>andere Zwecke nicht vereinbart sind.</w:t>
            </w:r>
          </w:p>
        </w:tc>
      </w:tr>
      <w:tr>
        <w:tc>
          <w:tcPr>
            <w:tcW w:w="4644" w:type="dxa"/>
          </w:tcPr>
          <w:p>
            <w:pPr>
              <w:pStyle w:val="NormalWeb"/>
              <w:spacing w:before="240" w:after="240"/>
            </w:pPr>
            <w:r>
              <w:rPr>
                <w:rStyle w:val="normal3"/>
              </w:rPr>
              <w:lastRenderedPageBreak/>
              <w:t xml:space="preserve">1.9. </w:t>
            </w:r>
            <w:r>
              <w:rPr>
                <w:rStyle w:val="c92bff171"/>
              </w:rPr>
              <w:t>Ergebnisse</w:t>
            </w:r>
            <w:r>
              <w:rPr>
                <w:rStyle w:val="normal3"/>
              </w:rPr>
              <w:t>:</w:t>
            </w:r>
          </w:p>
        </w:tc>
        <w:tc>
          <w:tcPr>
            <w:tcW w:w="4644" w:type="dxa"/>
          </w:tcPr>
          <w:p/>
        </w:tc>
      </w:tr>
      <w:tr>
        <w:tc>
          <w:tcPr>
            <w:tcW w:w="4644" w:type="dxa"/>
          </w:tcPr>
          <w:p>
            <w:pPr>
              <w:spacing w:before="240"/>
            </w:pPr>
            <w:r>
              <w:rPr>
                <w:rStyle w:val="c92bff171"/>
              </w:rPr>
              <w:t>Ergebnisse</w:t>
            </w:r>
            <w:r>
              <w:rPr>
                <w:rStyle w:val="normal3"/>
              </w:rPr>
              <w:t xml:space="preserve"> bezieht sich auf jegliche </w:t>
            </w:r>
            <w:r>
              <w:rPr>
                <w:rStyle w:val="c92bff171"/>
              </w:rPr>
              <w:t>Daten</w:t>
            </w:r>
            <w:r>
              <w:rPr>
                <w:rStyle w:val="normal3"/>
              </w:rPr>
              <w:t xml:space="preserve">, Informationen, </w:t>
            </w:r>
            <w:r>
              <w:rPr>
                <w:rStyle w:val="c92bff171"/>
              </w:rPr>
              <w:t>Immaterialgüterrechte</w:t>
            </w:r>
            <w:r>
              <w:rPr>
                <w:rStyle w:val="normal3"/>
              </w:rPr>
              <w:t xml:space="preserve">, die im Rahmen des </w:t>
            </w:r>
            <w:r>
              <w:rPr>
                <w:rStyle w:val="c92bff171"/>
              </w:rPr>
              <w:t>Zwecks</w:t>
            </w:r>
            <w:r>
              <w:rPr>
                <w:rStyle w:val="normal3"/>
              </w:rPr>
              <w:t xml:space="preserve"> oder außerhalb des </w:t>
            </w:r>
            <w:r>
              <w:rPr>
                <w:rStyle w:val="c92bff171"/>
              </w:rPr>
              <w:t>Zwecks</w:t>
            </w:r>
            <w:r>
              <w:rPr>
                <w:rStyle w:val="normal3"/>
              </w:rPr>
              <w:t xml:space="preserve"> während der Dauer dieser </w:t>
            </w:r>
            <w:r>
              <w:rPr>
                <w:rStyle w:val="c92bff171"/>
              </w:rPr>
              <w:t>Vereinbarung</w:t>
            </w:r>
            <w:r>
              <w:rPr>
                <w:rStyle w:val="normal3"/>
              </w:rPr>
              <w:t xml:space="preserve"> unter Nutzung oder Einarbeitung von </w:t>
            </w:r>
            <w:r>
              <w:rPr>
                <w:rStyle w:val="c92bff171"/>
              </w:rPr>
              <w:t>Material</w:t>
            </w:r>
            <w:r>
              <w:rPr>
                <w:rStyle w:val="normal3"/>
              </w:rPr>
              <w:t xml:space="preserve"> geschaffen oder in die Praxis umgesetzt werden, und auf alle sich darauf beziehenden Berichte; dies schließt jegliche neuen und/oder nützlichen Verfahren, Zusammensetzungen von Materie, Methoden sowie die Verbesserung des Vorstehenden oder auch Folgen der Evaluierung und/oder Nutzung des </w:t>
            </w:r>
            <w:r>
              <w:rPr>
                <w:rStyle w:val="c92bff171"/>
              </w:rPr>
              <w:t>Materials</w:t>
            </w:r>
            <w:r>
              <w:rPr>
                <w:rStyle w:val="normal3"/>
              </w:rPr>
              <w:t xml:space="preserve"> ein.</w:t>
            </w:r>
          </w:p>
        </w:tc>
        <w:tc>
          <w:tcPr>
            <w:tcW w:w="4644" w:type="dxa"/>
          </w:tcPr>
          <w:p>
            <w:pPr>
              <w:pStyle w:val="NormalWeb"/>
              <w:spacing w:before="240" w:after="240"/>
            </w:pPr>
            <w:r>
              <w:rPr>
                <w:rStyle w:val="normal4"/>
              </w:rPr>
              <w:t>Ergebnisse umfassen jedenfalls die Modifikationen, allerdings auch die nicht vom Vertragszweck erfassten Erkenntnisse (</w:t>
            </w:r>
            <w:proofErr w:type="spellStart"/>
            <w:r>
              <w:rPr>
                <w:rStyle w:val="normal4"/>
              </w:rPr>
              <w:t>Prohibited</w:t>
            </w:r>
            <w:proofErr w:type="spellEnd"/>
            <w:r>
              <w:rPr>
                <w:rStyle w:val="normal4"/>
              </w:rPr>
              <w:t xml:space="preserve"> </w:t>
            </w:r>
            <w:proofErr w:type="spellStart"/>
            <w:r>
              <w:rPr>
                <w:rStyle w:val="normal4"/>
              </w:rPr>
              <w:t>Use</w:t>
            </w:r>
            <w:proofErr w:type="spellEnd"/>
            <w:r>
              <w:rPr>
                <w:rStyle w:val="normal4"/>
              </w:rPr>
              <w:t xml:space="preserve">), wie etwa die im Rahmen der Durchführung dieses </w:t>
            </w:r>
            <w:proofErr w:type="spellStart"/>
            <w:r>
              <w:rPr>
                <w:rStyle w:val="normal4"/>
              </w:rPr>
              <w:t>MTA</w:t>
            </w:r>
            <w:proofErr w:type="spellEnd"/>
            <w:r>
              <w:rPr>
                <w:rStyle w:val="normal4"/>
              </w:rPr>
              <w:t xml:space="preserve"> erzielten zufälligen Ergebnisse sowie zweckwidrig (vertragswidrig) erzielte Ergebnisse sowie Erkenntnisse, die nicht nur mit dem Material des Bereitstellers erzielt wurden, sondern auch mit all den dazu offengelegten Informationen des Bereitstellers, wie z.B. </w:t>
            </w:r>
            <w:proofErr w:type="spellStart"/>
            <w:r>
              <w:rPr>
                <w:rStyle w:val="normal4"/>
              </w:rPr>
              <w:t>Know-How</w:t>
            </w:r>
            <w:proofErr w:type="spellEnd"/>
            <w:r>
              <w:rPr>
                <w:rStyle w:val="normal4"/>
              </w:rPr>
              <w:t xml:space="preserve">. </w:t>
            </w:r>
            <w:proofErr w:type="spellStart"/>
            <w:r>
              <w:rPr>
                <w:rStyle w:val="normal4"/>
              </w:rPr>
              <w:t>Desweiteren</w:t>
            </w:r>
            <w:proofErr w:type="spellEnd"/>
            <w:r>
              <w:rPr>
                <w:rStyle w:val="normal4"/>
              </w:rPr>
              <w:t xml:space="preserve"> erfasst die Definition Ergebnisse, in welchen nicht das Material des Bereitstellers enthalten ist (z.B. aus dem Material gewonnene Substanzen, die nicht das Material enthalten, und keine Nachkommenschaft und </w:t>
            </w:r>
            <w:proofErr w:type="spellStart"/>
            <w:r>
              <w:rPr>
                <w:rStyle w:val="normal4"/>
              </w:rPr>
              <w:t>Unmodifizierte</w:t>
            </w:r>
            <w:proofErr w:type="spellEnd"/>
            <w:r>
              <w:rPr>
                <w:rStyle w:val="normal4"/>
              </w:rPr>
              <w:t xml:space="preserve"> Derivate sind).</w:t>
            </w:r>
          </w:p>
        </w:tc>
      </w:tr>
      <w:tr>
        <w:tc>
          <w:tcPr>
            <w:tcW w:w="4644" w:type="dxa"/>
          </w:tcPr>
          <w:p>
            <w:pPr>
              <w:pStyle w:val="NormalWeb"/>
              <w:spacing w:before="240" w:after="240"/>
            </w:pPr>
            <w:r>
              <w:rPr>
                <w:rStyle w:val="normal3"/>
              </w:rPr>
              <w:t xml:space="preserve">1.10. </w:t>
            </w:r>
            <w:r>
              <w:rPr>
                <w:rStyle w:val="c92bff171"/>
              </w:rPr>
              <w:t>Forschung</w:t>
            </w:r>
            <w:r>
              <w:rPr>
                <w:rStyle w:val="normal3"/>
              </w:rPr>
              <w:t>:</w:t>
            </w:r>
          </w:p>
        </w:tc>
        <w:tc>
          <w:tcPr>
            <w:tcW w:w="4644" w:type="dxa"/>
          </w:tcPr>
          <w:p/>
        </w:tc>
      </w:tr>
      <w:tr>
        <w:tc>
          <w:tcPr>
            <w:tcW w:w="4644" w:type="dxa"/>
          </w:tcPr>
          <w:p>
            <w:pPr>
              <w:pStyle w:val="NormalWeb"/>
              <w:spacing w:before="240" w:after="240"/>
            </w:pPr>
            <w:r>
              <w:rPr>
                <w:rStyle w:val="c92bff171"/>
              </w:rPr>
              <w:t>Forschung</w:t>
            </w:r>
            <w:r>
              <w:rPr>
                <w:rStyle w:val="normal3"/>
              </w:rPr>
              <w:t xml:space="preserve"> umfasst die Nutzung des </w:t>
            </w:r>
            <w:r>
              <w:rPr>
                <w:rStyle w:val="c92bff171"/>
              </w:rPr>
              <w:t>Materials</w:t>
            </w:r>
            <w:r>
              <w:rPr>
                <w:rStyle w:val="normal3"/>
              </w:rPr>
              <w:t xml:space="preserve"> zur Forschung, einschließlich klinischer Forschung und Lehre und Tierpflege sowie kommerzieller Forschung (insbesondere Auftragsforschung für Unternehmen, Forschungskooperationen mit Unternehmen).</w:t>
            </w:r>
          </w:p>
        </w:tc>
        <w:tc>
          <w:tcPr>
            <w:tcW w:w="4644" w:type="dxa"/>
          </w:tcPr>
          <w:p>
            <w:pPr>
              <w:pStyle w:val="NormalWeb"/>
              <w:spacing w:before="240" w:after="240"/>
            </w:pPr>
            <w:r>
              <w:rPr>
                <w:rStyle w:val="normal4"/>
              </w:rPr>
              <w:t>Forschung ist umfassend definiert und umfasst nicht nur die rein wissenschaftliche Forschung, sondern jede Form der kommerziellen Forschung. Soll Gegenstand z.B. reine wissenschaftliche Forschung sein, ist dies unter Punkt 1.7. ausdrücklich festzulegen.</w:t>
            </w:r>
          </w:p>
        </w:tc>
      </w:tr>
      <w:tr>
        <w:tc>
          <w:tcPr>
            <w:tcW w:w="4644" w:type="dxa"/>
          </w:tcPr>
          <w:p>
            <w:pPr>
              <w:pStyle w:val="NormalWeb"/>
              <w:spacing w:before="240" w:after="240"/>
            </w:pPr>
            <w:r>
              <w:rPr>
                <w:rStyle w:val="normal3"/>
              </w:rPr>
              <w:t xml:space="preserve">1.11. </w:t>
            </w:r>
            <w:r>
              <w:rPr>
                <w:rStyle w:val="c92bff171"/>
              </w:rPr>
              <w:t>Vorbestehendes geistiges Eigentum</w:t>
            </w:r>
            <w:r>
              <w:rPr>
                <w:rStyle w:val="normal3"/>
              </w:rPr>
              <w:t>:</w:t>
            </w:r>
          </w:p>
        </w:tc>
        <w:tc>
          <w:tcPr>
            <w:tcW w:w="4644" w:type="dxa"/>
          </w:tcPr>
          <w:p/>
        </w:tc>
      </w:tr>
      <w:tr>
        <w:tc>
          <w:tcPr>
            <w:tcW w:w="4644" w:type="dxa"/>
          </w:tcPr>
          <w:p>
            <w:pPr>
              <w:pStyle w:val="NormalWeb"/>
              <w:spacing w:before="240" w:after="240"/>
            </w:pPr>
            <w:r>
              <w:rPr>
                <w:rStyle w:val="c92bff171"/>
              </w:rPr>
              <w:t xml:space="preserve">Vorbestehendes geistiges Eigentum </w:t>
            </w:r>
            <w:r>
              <w:rPr>
                <w:rStyle w:val="normal3"/>
              </w:rPr>
              <w:t xml:space="preserve">umfasst sämtliche </w:t>
            </w:r>
            <w:r>
              <w:rPr>
                <w:rStyle w:val="c92bff171"/>
              </w:rPr>
              <w:t>Immaterialgüterrechte</w:t>
            </w:r>
            <w:r>
              <w:rPr>
                <w:rStyle w:val="normal3"/>
              </w:rPr>
              <w:t xml:space="preserve"> einer </w:t>
            </w:r>
            <w:r>
              <w:rPr>
                <w:rStyle w:val="c92bff171"/>
              </w:rPr>
              <w:t>Partei</w:t>
            </w:r>
            <w:r>
              <w:rPr>
                <w:rStyle w:val="normal3"/>
              </w:rPr>
              <w:t xml:space="preserve">, die vor dem </w:t>
            </w:r>
            <w:r>
              <w:rPr>
                <w:rStyle w:val="c92bff171"/>
              </w:rPr>
              <w:t>Tag des Inkrafttretens</w:t>
            </w:r>
            <w:r>
              <w:rPr>
                <w:rStyle w:val="normal3"/>
              </w:rPr>
              <w:t xml:space="preserve"> entstanden sind oder unabhängig von der Verwendung des </w:t>
            </w:r>
            <w:r>
              <w:rPr>
                <w:rStyle w:val="c92bff171"/>
              </w:rPr>
              <w:t>Materials</w:t>
            </w:r>
            <w:r>
              <w:rPr>
                <w:rStyle w:val="normal3"/>
              </w:rPr>
              <w:t xml:space="preserve"> entstanden sind.</w:t>
            </w:r>
          </w:p>
        </w:tc>
        <w:tc>
          <w:tcPr>
            <w:tcW w:w="4644" w:type="dxa"/>
          </w:tcPr>
          <w:p/>
        </w:tc>
      </w:tr>
      <w:tr>
        <w:tc>
          <w:tcPr>
            <w:tcW w:w="4644" w:type="dxa"/>
          </w:tcPr>
          <w:p>
            <w:pPr>
              <w:pStyle w:val="NormalWeb"/>
              <w:spacing w:before="240" w:after="240"/>
            </w:pPr>
            <w:r>
              <w:rPr>
                <w:rStyle w:val="normal3"/>
              </w:rPr>
              <w:t xml:space="preserve">1.12. </w:t>
            </w:r>
            <w:r>
              <w:rPr>
                <w:rStyle w:val="c92bff171"/>
              </w:rPr>
              <w:t>Immaterialgüterrechte (</w:t>
            </w:r>
            <w:proofErr w:type="spellStart"/>
            <w:r>
              <w:rPr>
                <w:rStyle w:val="c92bff171"/>
              </w:rPr>
              <w:t>IP</w:t>
            </w:r>
            <w:proofErr w:type="spellEnd"/>
            <w:r>
              <w:rPr>
                <w:rStyle w:val="c92bff171"/>
              </w:rPr>
              <w:t>-Rechte)</w:t>
            </w:r>
            <w:r>
              <w:rPr>
                <w:rStyle w:val="normal3"/>
              </w:rPr>
              <w:t>:</w:t>
            </w:r>
          </w:p>
        </w:tc>
        <w:tc>
          <w:tcPr>
            <w:tcW w:w="4644" w:type="dxa"/>
          </w:tcPr>
          <w:p/>
        </w:tc>
      </w:tr>
      <w:tr>
        <w:tc>
          <w:tcPr>
            <w:tcW w:w="4644" w:type="dxa"/>
          </w:tcPr>
          <w:p>
            <w:pPr>
              <w:pStyle w:val="NormalWeb"/>
              <w:spacing w:before="240" w:after="240"/>
            </w:pPr>
            <w:r>
              <w:rPr>
                <w:rStyle w:val="c92bff171"/>
              </w:rPr>
              <w:t>Immaterialgüterrechte (</w:t>
            </w:r>
            <w:proofErr w:type="spellStart"/>
            <w:r>
              <w:rPr>
                <w:rStyle w:val="c92bff171"/>
              </w:rPr>
              <w:t>IP</w:t>
            </w:r>
            <w:proofErr w:type="spellEnd"/>
            <w:r>
              <w:rPr>
                <w:rStyle w:val="c92bff171"/>
              </w:rPr>
              <w:t>-Rechte)</w:t>
            </w:r>
            <w:r>
              <w:rPr>
                <w:rStyle w:val="normal3"/>
              </w:rPr>
              <w:t xml:space="preserve"> bezieht sich auf Rechte an geistigem Eigentum, insbesondere auf Patente, Marken, </w:t>
            </w:r>
            <w:r>
              <w:rPr>
                <w:rStyle w:val="normal3"/>
              </w:rPr>
              <w:lastRenderedPageBreak/>
              <w:t>Musterrechte, Urheberrechte, Datenbankrechte, Betriebsgeheimnisse und Know-how, und zwar stets unabhängig davon, ob diese eingetragen oder nicht eintragungsfähig sind, und beinhaltet auch alle Registrierungen, Anmeldungen und Anmeldungsrechte jedes dieser Rechte.</w:t>
            </w:r>
          </w:p>
        </w:tc>
        <w:tc>
          <w:tcPr>
            <w:tcW w:w="4644" w:type="dxa"/>
          </w:tcPr>
          <w:p/>
        </w:tc>
      </w:tr>
      <w:tr>
        <w:tc>
          <w:tcPr>
            <w:tcW w:w="4644" w:type="dxa"/>
          </w:tcPr>
          <w:p>
            <w:pPr>
              <w:pStyle w:val="NormalWeb"/>
              <w:spacing w:before="240" w:after="240"/>
            </w:pPr>
            <w:r>
              <w:rPr>
                <w:rStyle w:val="normal3"/>
              </w:rPr>
              <w:lastRenderedPageBreak/>
              <w:t xml:space="preserve">1.13. </w:t>
            </w:r>
            <w:proofErr w:type="spellStart"/>
            <w:r>
              <w:rPr>
                <w:rStyle w:val="c92bff171"/>
              </w:rPr>
              <w:t>Informed</w:t>
            </w:r>
            <w:proofErr w:type="spellEnd"/>
            <w:r>
              <w:rPr>
                <w:rStyle w:val="c92bff171"/>
              </w:rPr>
              <w:t xml:space="preserve"> </w:t>
            </w:r>
            <w:proofErr w:type="spellStart"/>
            <w:r>
              <w:rPr>
                <w:rStyle w:val="c92bff171"/>
              </w:rPr>
              <w:t>Consent</w:t>
            </w:r>
            <w:proofErr w:type="spellEnd"/>
            <w:r>
              <w:rPr>
                <w:rStyle w:val="normal3"/>
              </w:rPr>
              <w:t>:</w:t>
            </w:r>
          </w:p>
        </w:tc>
        <w:tc>
          <w:tcPr>
            <w:tcW w:w="4644" w:type="dxa"/>
          </w:tcPr>
          <w:p/>
        </w:tc>
      </w:tr>
      <w:tr>
        <w:tc>
          <w:tcPr>
            <w:tcW w:w="4644" w:type="dxa"/>
          </w:tcPr>
          <w:p>
            <w:pPr>
              <w:pStyle w:val="NormalWeb"/>
              <w:spacing w:before="240" w:after="240"/>
            </w:pPr>
            <w:proofErr w:type="spellStart"/>
            <w:r>
              <w:rPr>
                <w:rStyle w:val="c92bff171"/>
              </w:rPr>
              <w:t>Informed</w:t>
            </w:r>
            <w:proofErr w:type="spellEnd"/>
            <w:r>
              <w:rPr>
                <w:rStyle w:val="c92bff171"/>
              </w:rPr>
              <w:t xml:space="preserve"> </w:t>
            </w:r>
            <w:proofErr w:type="spellStart"/>
            <w:r>
              <w:rPr>
                <w:rStyle w:val="c92bff171"/>
              </w:rPr>
              <w:t>Consent</w:t>
            </w:r>
            <w:proofErr w:type="spellEnd"/>
            <w:r>
              <w:rPr>
                <w:rStyle w:val="normal3"/>
              </w:rPr>
              <w:t xml:space="preserve"> bezieht sich auf die Zustimmung im gemäß dem </w:t>
            </w:r>
            <w:r>
              <w:rPr>
                <w:rStyle w:val="c92bff171"/>
              </w:rPr>
              <w:t>Zweck</w:t>
            </w:r>
            <w:r>
              <w:rPr>
                <w:rStyle w:val="normal3"/>
              </w:rPr>
              <w:t xml:space="preserve"> erforderlichen Umfang, die durch den Spender von </w:t>
            </w:r>
            <w:r>
              <w:rPr>
                <w:rStyle w:val="c92bff171"/>
              </w:rPr>
              <w:t>Mustermaterial</w:t>
            </w:r>
            <w:r>
              <w:rPr>
                <w:rStyle w:val="normal3"/>
              </w:rPr>
              <w:t xml:space="preserve"> und/oder </w:t>
            </w:r>
            <w:r>
              <w:rPr>
                <w:rStyle w:val="c92bff171"/>
              </w:rPr>
              <w:t>Daten</w:t>
            </w:r>
            <w:r>
              <w:rPr>
                <w:rStyle w:val="normal3"/>
              </w:rPr>
              <w:t xml:space="preserve"> bzw. durch den jeweiligen Tierhalter erteilt wird.</w:t>
            </w:r>
          </w:p>
        </w:tc>
        <w:tc>
          <w:tcPr>
            <w:tcW w:w="4644" w:type="dxa"/>
          </w:tcPr>
          <w:p>
            <w:pPr>
              <w:pStyle w:val="NormalWeb"/>
              <w:spacing w:before="240" w:after="240"/>
            </w:pPr>
            <w:r>
              <w:rPr>
                <w:rStyle w:val="normal4"/>
              </w:rPr>
              <w:t>Bei tierischem Material wird für die Verwendung für Forschungszwecke und für den Eigentumsübergang an den Materialien die Zustimmung des Tierhalters erforderlich sein. Siehe dazu Muster „Übertragung von Eigentum an tierischen Proben“.</w:t>
            </w:r>
          </w:p>
        </w:tc>
      </w:tr>
      <w:tr>
        <w:tc>
          <w:tcPr>
            <w:tcW w:w="4644" w:type="dxa"/>
          </w:tcPr>
          <w:p>
            <w:pPr>
              <w:pStyle w:val="NormalWeb"/>
              <w:spacing w:before="240" w:after="240"/>
            </w:pPr>
            <w:r>
              <w:rPr>
                <w:rStyle w:val="normal3"/>
              </w:rPr>
              <w:t xml:space="preserve">1.14. </w:t>
            </w:r>
            <w:r>
              <w:rPr>
                <w:rStyle w:val="c92bff171"/>
              </w:rPr>
              <w:t>Dritte</w:t>
            </w:r>
            <w:r>
              <w:rPr>
                <w:rStyle w:val="normal3"/>
              </w:rPr>
              <w:t>:</w:t>
            </w:r>
          </w:p>
        </w:tc>
        <w:tc>
          <w:tcPr>
            <w:tcW w:w="4644" w:type="dxa"/>
          </w:tcPr>
          <w:p/>
        </w:tc>
      </w:tr>
      <w:tr>
        <w:tc>
          <w:tcPr>
            <w:tcW w:w="4644" w:type="dxa"/>
          </w:tcPr>
          <w:p>
            <w:pPr>
              <w:pStyle w:val="NormalWeb"/>
              <w:spacing w:before="240" w:after="240"/>
            </w:pPr>
            <w:r>
              <w:rPr>
                <w:rStyle w:val="c92bff171"/>
              </w:rPr>
              <w:t>Dritte</w:t>
            </w:r>
            <w:r>
              <w:rPr>
                <w:rStyle w:val="c92bff171"/>
                <w:b w:val="0"/>
              </w:rPr>
              <w:t xml:space="preserve"> </w:t>
            </w:r>
            <w:r>
              <w:rPr>
                <w:rStyle w:val="normal3"/>
              </w:rPr>
              <w:t xml:space="preserve">bezieht sich auf alle juristischen oder natürlichen Personen mit Ausnahme der </w:t>
            </w:r>
            <w:r>
              <w:rPr>
                <w:rStyle w:val="c92bff171"/>
              </w:rPr>
              <w:t>Parteien</w:t>
            </w:r>
            <w:r>
              <w:rPr>
                <w:rStyle w:val="normal3"/>
              </w:rPr>
              <w:t>.</w:t>
            </w:r>
          </w:p>
        </w:tc>
        <w:tc>
          <w:tcPr>
            <w:tcW w:w="4644" w:type="dxa"/>
          </w:tcPr>
          <w:p>
            <w:pPr>
              <w:spacing w:before="240"/>
            </w:pPr>
            <w:r>
              <w:rPr>
                <w:rStyle w:val="normal4"/>
              </w:rPr>
              <w:t>Diese Definition stellt klar, dass auch verbundene Unternehmen Dritte sind.</w:t>
            </w:r>
          </w:p>
        </w:tc>
      </w:tr>
      <w:tr>
        <w:tc>
          <w:tcPr>
            <w:tcW w:w="4644" w:type="dxa"/>
          </w:tcPr>
          <w:p>
            <w:pPr>
              <w:pStyle w:val="NormalWeb"/>
              <w:spacing w:before="240" w:after="240"/>
            </w:pPr>
            <w:r>
              <w:rPr>
                <w:rStyle w:val="normal3"/>
              </w:rPr>
              <w:t xml:space="preserve">1.15. </w:t>
            </w:r>
            <w:r>
              <w:rPr>
                <w:rStyle w:val="c92bff171"/>
              </w:rPr>
              <w:t>Tag des Inkrafttretens</w:t>
            </w:r>
            <w:r>
              <w:rPr>
                <w:rStyle w:val="normal3"/>
              </w:rPr>
              <w:t>:</w:t>
            </w:r>
          </w:p>
        </w:tc>
        <w:tc>
          <w:tcPr>
            <w:tcW w:w="4644" w:type="dxa"/>
          </w:tcPr>
          <w:p/>
        </w:tc>
      </w:tr>
      <w:tr>
        <w:tc>
          <w:tcPr>
            <w:tcW w:w="4644" w:type="dxa"/>
          </w:tcPr>
          <w:p>
            <w:pPr>
              <w:pStyle w:val="NormalWeb"/>
              <w:spacing w:before="240" w:after="240"/>
            </w:pPr>
            <w:r>
              <w:rPr>
                <w:rStyle w:val="c92bff171"/>
              </w:rPr>
              <w:t>Tag des Inkrafttretens</w:t>
            </w:r>
            <w:r>
              <w:rPr>
                <w:rStyle w:val="normal3"/>
              </w:rPr>
              <w:t xml:space="preserve"> bezieht sich auf den Tag, an dem die </w:t>
            </w:r>
            <w:r>
              <w:rPr>
                <w:rStyle w:val="c92bff171"/>
              </w:rPr>
              <w:t>Parteien</w:t>
            </w:r>
            <w:r>
              <w:rPr>
                <w:rStyle w:val="normal3"/>
              </w:rPr>
              <w:t xml:space="preserve"> die vorliegende </w:t>
            </w:r>
            <w:r>
              <w:rPr>
                <w:rStyle w:val="c92bff171"/>
              </w:rPr>
              <w:t>Vereinbarung</w:t>
            </w:r>
            <w:r>
              <w:rPr>
                <w:rStyle w:val="normal3"/>
              </w:rPr>
              <w:t xml:space="preserve"> unterzeichnen.</w:t>
            </w:r>
          </w:p>
        </w:tc>
        <w:tc>
          <w:tcPr>
            <w:tcW w:w="4644" w:type="dxa"/>
          </w:tcPr>
          <w:p/>
        </w:tc>
      </w:tr>
      <w:tr>
        <w:tc>
          <w:tcPr>
            <w:tcW w:w="4644" w:type="dxa"/>
          </w:tcPr>
          <w:p>
            <w:pPr>
              <w:pStyle w:val="NormalWeb"/>
              <w:spacing w:before="240" w:after="240"/>
            </w:pPr>
            <w:r>
              <w:rPr>
                <w:rStyle w:val="normal3"/>
              </w:rPr>
              <w:t>[</w:t>
            </w:r>
            <w:r>
              <w:rPr>
                <w:rStyle w:val="c92bff211"/>
              </w:rPr>
              <w:t xml:space="preserve">Der </w:t>
            </w:r>
            <w:r>
              <w:rPr>
                <w:rStyle w:val="c92bff221"/>
              </w:rPr>
              <w:t>Tag des Inkrafttretens</w:t>
            </w:r>
            <w:r>
              <w:rPr>
                <w:rStyle w:val="c92bff211"/>
              </w:rPr>
              <w:t xml:space="preserve"> ist der</w:t>
            </w:r>
            <w:r>
              <w:rPr>
                <w:rStyle w:val="normal3"/>
              </w:rPr>
              <w:t xml:space="preserve"> </w:t>
            </w:r>
            <w:r>
              <w:rPr>
                <w:rStyle w:val="c92bff181"/>
              </w:rPr>
              <w:t>_____________</w:t>
            </w:r>
            <w:r>
              <w:rPr>
                <w:rStyle w:val="normal3"/>
              </w:rPr>
              <w:t>(</w:t>
            </w:r>
            <w:r>
              <w:rPr>
                <w:rStyle w:val="c92bff201"/>
              </w:rPr>
              <w:t>Datum</w:t>
            </w:r>
            <w:r>
              <w:rPr>
                <w:rStyle w:val="normal3"/>
              </w:rPr>
              <w:t>).]</w:t>
            </w:r>
          </w:p>
        </w:tc>
        <w:tc>
          <w:tcPr>
            <w:tcW w:w="4644" w:type="dxa"/>
          </w:tcPr>
          <w:p/>
        </w:tc>
      </w:tr>
      <w:tr>
        <w:tc>
          <w:tcPr>
            <w:tcW w:w="4644" w:type="dxa"/>
          </w:tcPr>
          <w:p>
            <w:pPr>
              <w:pStyle w:val="NormalWeb"/>
              <w:spacing w:before="240" w:after="240"/>
            </w:pPr>
            <w:r>
              <w:rPr>
                <w:rStyle w:val="normal3"/>
              </w:rPr>
              <w:t xml:space="preserve">1.16. </w:t>
            </w:r>
            <w:r>
              <w:rPr>
                <w:rStyle w:val="c92bff171"/>
              </w:rPr>
              <w:t>Vereinbarung</w:t>
            </w:r>
            <w:r>
              <w:rPr>
                <w:rStyle w:val="normal3"/>
              </w:rPr>
              <w:t>:</w:t>
            </w:r>
          </w:p>
        </w:tc>
        <w:tc>
          <w:tcPr>
            <w:tcW w:w="4644" w:type="dxa"/>
          </w:tcPr>
          <w:p/>
        </w:tc>
      </w:tr>
      <w:tr>
        <w:tc>
          <w:tcPr>
            <w:tcW w:w="4644" w:type="dxa"/>
          </w:tcPr>
          <w:p>
            <w:pPr>
              <w:pStyle w:val="NormalWeb"/>
              <w:spacing w:before="240" w:after="240"/>
            </w:pPr>
            <w:r>
              <w:rPr>
                <w:rStyle w:val="c92bff171"/>
              </w:rPr>
              <w:t>Vereinbarung</w:t>
            </w:r>
            <w:r>
              <w:rPr>
                <w:rStyle w:val="normal3"/>
              </w:rPr>
              <w:t xml:space="preserve"> bezieht sich auf die vorliegende Materialüberlassungsvereinbarung (Material Transfer Agreement) für Biomaterial tierischen Ursprungs.</w:t>
            </w:r>
          </w:p>
        </w:tc>
        <w:tc>
          <w:tcPr>
            <w:tcW w:w="4644" w:type="dxa"/>
          </w:tcPr>
          <w:p/>
        </w:tc>
      </w:tr>
      <w:tr>
        <w:tc>
          <w:tcPr>
            <w:tcW w:w="4644" w:type="dxa"/>
          </w:tcPr>
          <w:p>
            <w:pPr>
              <w:pStyle w:val="NormalWeb"/>
              <w:spacing w:before="240" w:after="240"/>
              <w:rPr>
                <w:rFonts w:ascii="Arial" w:hAnsi="Arial" w:cs="Arial"/>
              </w:rPr>
            </w:pPr>
            <w:r>
              <w:rPr>
                <w:rStyle w:val="normal3"/>
              </w:rPr>
              <w:t xml:space="preserve">1.17. </w:t>
            </w:r>
            <w:r>
              <w:rPr>
                <w:rFonts w:ascii="Arial" w:hAnsi="Arial" w:cs="Arial"/>
                <w:b/>
              </w:rPr>
              <w:t>Personenbezogene Daten</w:t>
            </w:r>
            <w:r>
              <w:rPr>
                <w:rStyle w:val="normal3"/>
              </w:rPr>
              <w: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Fonts w:ascii="Arial" w:hAnsi="Arial" w:cs="Arial"/>
                <w:b/>
              </w:rPr>
              <w:t>Personenbezogene Daten</w:t>
            </w:r>
            <w:r>
              <w:rPr>
                <w:rFonts w:ascii="Arial" w:hAnsi="Arial" w:cs="Arial"/>
              </w:rPr>
              <w:t xml:space="preserve"> sind alle Informationen, die sich auf eine identifizierte oder identifizierbare </w:t>
            </w:r>
            <w:r>
              <w:rPr>
                <w:rFonts w:ascii="Arial" w:hAnsi="Arial" w:cs="Arial"/>
              </w:rPr>
              <w:lastRenderedPageBreak/>
              <w:t xml:space="preserve">natürliche Person beziehen gemäß Artikel 4 Ziffer 1 </w:t>
            </w:r>
            <w:proofErr w:type="spellStart"/>
            <w:r>
              <w:rPr>
                <w:rFonts w:ascii="Arial" w:hAnsi="Arial" w:cs="Arial"/>
              </w:rPr>
              <w:t>DSGVO</w:t>
            </w:r>
            <w:proofErr w:type="spellEnd"/>
            <w:r>
              <w:rPr>
                <w:rFonts w:ascii="Arial" w:hAnsi="Arial" w:cs="Arial"/>
              </w:rPr>
              <w:t xml:space="preserve"> (Datenschutzgrundverordnung).</w:t>
            </w:r>
          </w:p>
        </w:tc>
        <w:tc>
          <w:tcPr>
            <w:tcW w:w="4644" w:type="dxa"/>
          </w:tcPr>
          <w:p/>
        </w:tc>
      </w:tr>
      <w:tr>
        <w:tc>
          <w:tcPr>
            <w:tcW w:w="4644" w:type="dxa"/>
          </w:tcPr>
          <w:p>
            <w:pPr>
              <w:pStyle w:val="NormalWeb"/>
              <w:spacing w:before="240"/>
              <w:jc w:val="center"/>
              <w:rPr>
                <w:rStyle w:val="cfd4fa671"/>
              </w:rPr>
            </w:pPr>
            <w:r>
              <w:rPr>
                <w:rStyle w:val="cfd4fa671"/>
              </w:rPr>
              <w:lastRenderedPageBreak/>
              <w:t>2.</w:t>
            </w:r>
          </w:p>
          <w:p>
            <w:pPr>
              <w:pStyle w:val="NormalWeb"/>
              <w:jc w:val="center"/>
            </w:pPr>
            <w:r>
              <w:rPr>
                <w:rStyle w:val="cfd4fa671"/>
              </w:rPr>
              <w:t>PRÄAMBEL</w:t>
            </w:r>
          </w:p>
        </w:tc>
        <w:tc>
          <w:tcPr>
            <w:tcW w:w="4644" w:type="dxa"/>
          </w:tcPr>
          <w:p>
            <w:pPr>
              <w:pStyle w:val="NormalWeb"/>
              <w:spacing w:before="240" w:after="240"/>
            </w:pPr>
            <w:r>
              <w:rPr>
                <w:rStyle w:val="normal6"/>
              </w:rPr>
              <w:t>Die Präambel selbst dient üblicherweise dazu, den Vertragszweck generell zu beschreiben und wird vor allem als Auslegungsmittel herangezogen.</w:t>
            </w:r>
          </w:p>
        </w:tc>
      </w:tr>
      <w:tr>
        <w:tc>
          <w:tcPr>
            <w:tcW w:w="4644" w:type="dxa"/>
          </w:tcPr>
          <w:p>
            <w:pPr>
              <w:pStyle w:val="NormalWeb"/>
              <w:spacing w:before="240" w:after="240"/>
            </w:pPr>
            <w:r>
              <w:rPr>
                <w:rStyle w:val="normal5"/>
              </w:rPr>
              <w:t xml:space="preserve">2.1. Die </w:t>
            </w:r>
            <w:r>
              <w:rPr>
                <w:rStyle w:val="cfd4fa661"/>
              </w:rPr>
              <w:t>übertragende Partei</w:t>
            </w:r>
            <w:r>
              <w:rPr>
                <w:rStyle w:val="normal5"/>
              </w:rPr>
              <w:t xml:space="preserve"> verfügt über </w:t>
            </w:r>
            <w:r>
              <w:rPr>
                <w:rStyle w:val="cfd4fa661"/>
              </w:rPr>
              <w:t>Material</w:t>
            </w:r>
            <w:r>
              <w:rPr>
                <w:rStyle w:val="normal5"/>
              </w:rPr>
              <w:t xml:space="preserve">, an dem sie alle notwendigen Rechte - insbesondere </w:t>
            </w:r>
            <w:r>
              <w:rPr>
                <w:rStyle w:val="cfd4fa681"/>
              </w:rPr>
              <w:t>[Eigentumsrechte,</w:t>
            </w:r>
            <w:r>
              <w:rPr>
                <w:rStyle w:val="normal5"/>
              </w:rPr>
              <w:t xml:space="preserve"> ]Immaterialgüterrechte oder gegebenenfalls Nutzungsrechte - hält, um dieses </w:t>
            </w:r>
            <w:r>
              <w:rPr>
                <w:rStyle w:val="cfd4fa661"/>
              </w:rPr>
              <w:t>Material</w:t>
            </w:r>
            <w:r>
              <w:rPr>
                <w:rStyle w:val="normal5"/>
              </w:rPr>
              <w:t xml:space="preserve"> der </w:t>
            </w:r>
            <w:r>
              <w:rPr>
                <w:rStyle w:val="cfd4fa661"/>
              </w:rPr>
              <w:t>übernehmenden Partei</w:t>
            </w:r>
            <w:r>
              <w:rPr>
                <w:rStyle w:val="normal5"/>
              </w:rPr>
              <w:t xml:space="preserve"> im Wege der vorliegenden Vereinbarung für den </w:t>
            </w:r>
            <w:r>
              <w:rPr>
                <w:rStyle w:val="cfd4fa661"/>
              </w:rPr>
              <w:t>Zweck</w:t>
            </w:r>
            <w:r>
              <w:rPr>
                <w:rStyle w:val="normal5"/>
              </w:rPr>
              <w:t xml:space="preserve"> dieser </w:t>
            </w:r>
            <w:r>
              <w:rPr>
                <w:rStyle w:val="cfd4fa661"/>
              </w:rPr>
              <w:t>Vereinbarung</w:t>
            </w:r>
            <w:r>
              <w:rPr>
                <w:rStyle w:val="normal5"/>
              </w:rPr>
              <w:t xml:space="preserve"> zur Verfügung stellen zu können.</w:t>
            </w:r>
          </w:p>
        </w:tc>
        <w:tc>
          <w:tcPr>
            <w:tcW w:w="4644" w:type="dxa"/>
          </w:tcPr>
          <w:p>
            <w:pPr>
              <w:pStyle w:val="NormalWeb"/>
              <w:spacing w:before="240" w:after="240"/>
            </w:pPr>
            <w:r>
              <w:rPr>
                <w:rStyle w:val="normal6"/>
              </w:rPr>
              <w:t xml:space="preserve">Wird das Eigentum an Material übertragen, dann muss natürlich auch der Bereitsteller vom Tiereigentümer Eigentum erworben haben. Sollte der Bereitsteller kein Eigentum am Material erworben haben, könnte der Empfänger immer noch in Ausnahmefällen gutgläubig Eigentum daran erworben haben, sofern alle Voraussetzungen des § 367 </w:t>
            </w:r>
            <w:proofErr w:type="spellStart"/>
            <w:r>
              <w:rPr>
                <w:rStyle w:val="normal6"/>
              </w:rPr>
              <w:t>ABGB</w:t>
            </w:r>
            <w:proofErr w:type="spellEnd"/>
            <w:r>
              <w:rPr>
                <w:rStyle w:val="normal6"/>
              </w:rPr>
              <w:t xml:space="preserve"> vorliegen.</w:t>
            </w:r>
          </w:p>
        </w:tc>
      </w:tr>
      <w:tr>
        <w:tc>
          <w:tcPr>
            <w:tcW w:w="4644" w:type="dxa"/>
          </w:tcPr>
          <w:p>
            <w:pPr>
              <w:pStyle w:val="NormalWeb"/>
              <w:spacing w:before="240" w:after="240"/>
            </w:pPr>
            <w:r>
              <w:rPr>
                <w:rStyle w:val="normal5"/>
              </w:rPr>
              <w:t xml:space="preserve">2.2. Die </w:t>
            </w:r>
            <w:r>
              <w:rPr>
                <w:rStyle w:val="cfd4fa661"/>
              </w:rPr>
              <w:t>übernehmende Partei</w:t>
            </w:r>
            <w:r>
              <w:rPr>
                <w:rStyle w:val="normal5"/>
              </w:rPr>
              <w:t xml:space="preserve"> ist im Rahmen des </w:t>
            </w:r>
            <w:r>
              <w:rPr>
                <w:rStyle w:val="cfd4fa661"/>
              </w:rPr>
              <w:t>Zwecks</w:t>
            </w:r>
            <w:r>
              <w:rPr>
                <w:rStyle w:val="normal5"/>
              </w:rPr>
              <w:t xml:space="preserve"> am </w:t>
            </w:r>
            <w:r>
              <w:rPr>
                <w:rStyle w:val="cfd4fa661"/>
              </w:rPr>
              <w:t>Material</w:t>
            </w:r>
            <w:r>
              <w:rPr>
                <w:rStyle w:val="normal5"/>
              </w:rPr>
              <w:t xml:space="preserve"> interessiert. [</w:t>
            </w:r>
            <w:r>
              <w:rPr>
                <w:rStyle w:val="cfd4fa681"/>
              </w:rPr>
              <w:t xml:space="preserve">Die </w:t>
            </w:r>
            <w:r>
              <w:rPr>
                <w:rStyle w:val="cfd4fa691"/>
              </w:rPr>
              <w:t>übernehmende Partei</w:t>
            </w:r>
            <w:r>
              <w:rPr>
                <w:rStyle w:val="cfd4fa681"/>
              </w:rPr>
              <w:t xml:space="preserve"> erhält [nicht] das Eigentum am </w:t>
            </w:r>
            <w:r>
              <w:rPr>
                <w:rStyle w:val="cfd4fa691"/>
              </w:rPr>
              <w:t>Material</w:t>
            </w:r>
            <w:r>
              <w:rPr>
                <w:rStyle w:val="cfd4fa681"/>
              </w:rPr>
              <w:t>.</w:t>
            </w:r>
            <w:r>
              <w:rPr>
                <w:rStyle w:val="normal5"/>
              </w:rPr>
              <w:t>]</w:t>
            </w:r>
          </w:p>
        </w:tc>
        <w:tc>
          <w:tcPr>
            <w:tcW w:w="4644" w:type="dxa"/>
          </w:tcPr>
          <w:p>
            <w:pPr>
              <w:pStyle w:val="NormalWeb"/>
              <w:spacing w:before="240" w:after="240"/>
            </w:pPr>
            <w:r>
              <w:rPr>
                <w:rStyle w:val="normal6"/>
              </w:rPr>
              <w:t xml:space="preserve">Die </w:t>
            </w:r>
            <w:proofErr w:type="spellStart"/>
            <w:r>
              <w:rPr>
                <w:rStyle w:val="ceb3fa641"/>
              </w:rPr>
              <w:t>türkis</w:t>
            </w:r>
            <w:proofErr w:type="spellEnd"/>
            <w:r>
              <w:rPr>
                <w:rStyle w:val="normal6"/>
              </w:rPr>
              <w:t xml:space="preserve"> unterlegten Optionen müssen natürlich mit dem Zweck der Vereinbarung und den nachfolgenden Eigentumsklauseln abgestimmt sein, wenn man sie aufnehmen möchte.</w:t>
            </w:r>
          </w:p>
        </w:tc>
      </w:tr>
      <w:tr>
        <w:tc>
          <w:tcPr>
            <w:tcW w:w="4644" w:type="dxa"/>
          </w:tcPr>
          <w:p>
            <w:pPr>
              <w:pStyle w:val="NormalWeb"/>
              <w:spacing w:before="240" w:after="240"/>
            </w:pPr>
            <w:r>
              <w:rPr>
                <w:rStyle w:val="normal5"/>
              </w:rPr>
              <w:t>[</w:t>
            </w:r>
            <w:r>
              <w:rPr>
                <w:rStyle w:val="cfd4fa701"/>
              </w:rPr>
              <w:t>Option</w:t>
            </w:r>
            <w:r>
              <w:rPr>
                <w:rStyle w:val="normal5"/>
              </w:rPr>
              <w:t xml:space="preserve">: 2.3. Die </w:t>
            </w:r>
            <w:r>
              <w:rPr>
                <w:rStyle w:val="cfd4fa661"/>
              </w:rPr>
              <w:t>übertragende Partei</w:t>
            </w:r>
            <w:r>
              <w:rPr>
                <w:rStyle w:val="normal5"/>
              </w:rPr>
              <w:t xml:space="preserve"> ist bereit, der </w:t>
            </w:r>
            <w:r>
              <w:rPr>
                <w:rStyle w:val="cfd4fa661"/>
              </w:rPr>
              <w:t>übernehmenden Partei</w:t>
            </w:r>
            <w:r>
              <w:rPr>
                <w:rStyle w:val="normal5"/>
              </w:rPr>
              <w:t xml:space="preserve"> das </w:t>
            </w:r>
            <w:r>
              <w:rPr>
                <w:rStyle w:val="cfd4fa661"/>
              </w:rPr>
              <w:t>Material</w:t>
            </w:r>
            <w:r>
              <w:rPr>
                <w:rStyle w:val="normal5"/>
              </w:rPr>
              <w:t xml:space="preserve"> nach Maßgabe der folgenden Voraussetzungen und Bedingungen zur Verfügung zu stellen: </w:t>
            </w:r>
            <w:r>
              <w:rPr>
                <w:rStyle w:val="cfd4fa711"/>
              </w:rPr>
              <w:t>________________</w:t>
            </w:r>
            <w:r>
              <w:rPr>
                <w:rStyle w:val="cfd4fa721"/>
              </w:rPr>
              <w:t>.</w:t>
            </w:r>
            <w:r>
              <w:rPr>
                <w:rStyle w:val="normal5"/>
              </w:rPr>
              <w:t>]</w:t>
            </w:r>
          </w:p>
        </w:tc>
        <w:tc>
          <w:tcPr>
            <w:tcW w:w="4644" w:type="dxa"/>
          </w:tcPr>
          <w:p>
            <w:pPr>
              <w:pStyle w:val="NormalWeb"/>
              <w:spacing w:before="240" w:after="240"/>
            </w:pPr>
            <w:r>
              <w:rPr>
                <w:rStyle w:val="normal6"/>
              </w:rPr>
              <w:t>Die Option ist dazu gedacht, spezielle Einschränkungen noch festzuhalten, die sich ansonsten nicht im Vertrag finden.</w:t>
            </w:r>
          </w:p>
        </w:tc>
      </w:tr>
      <w:tr>
        <w:tc>
          <w:tcPr>
            <w:tcW w:w="4644" w:type="dxa"/>
          </w:tcPr>
          <w:p>
            <w:pPr>
              <w:pStyle w:val="NormalWeb"/>
              <w:spacing w:before="240"/>
              <w:jc w:val="center"/>
            </w:pPr>
            <w:r>
              <w:rPr>
                <w:rStyle w:val="c7ee9e261"/>
              </w:rPr>
              <w:t>3.</w:t>
            </w:r>
          </w:p>
          <w:p>
            <w:pPr>
              <w:pStyle w:val="NormalWeb"/>
              <w:spacing w:after="240"/>
              <w:jc w:val="center"/>
            </w:pPr>
            <w:r>
              <w:rPr>
                <w:rStyle w:val="c7ee9e261"/>
              </w:rPr>
              <w:t>GEGENSTAND DER VEREINBARUNG</w:t>
            </w:r>
          </w:p>
        </w:tc>
        <w:tc>
          <w:tcPr>
            <w:tcW w:w="4644" w:type="dxa"/>
          </w:tcPr>
          <w:p/>
        </w:tc>
      </w:tr>
      <w:tr>
        <w:tc>
          <w:tcPr>
            <w:tcW w:w="4644" w:type="dxa"/>
          </w:tcPr>
          <w:p>
            <w:pPr>
              <w:pStyle w:val="NormalWeb"/>
              <w:spacing w:before="240" w:after="240"/>
              <w:rPr>
                <w:rFonts w:ascii="Arial" w:hAnsi="Arial" w:cs="Arial"/>
              </w:rPr>
            </w:pPr>
            <w:r>
              <w:rPr>
                <w:rStyle w:val="normal7"/>
              </w:rPr>
              <w:t xml:space="preserve">3.1. Die </w:t>
            </w:r>
            <w:r>
              <w:rPr>
                <w:rStyle w:val="c7ee9e251"/>
              </w:rPr>
              <w:t>übertragende Partei</w:t>
            </w:r>
            <w:r>
              <w:rPr>
                <w:rStyle w:val="normal7"/>
              </w:rPr>
              <w:t xml:space="preserve"> stellt der </w:t>
            </w:r>
            <w:r>
              <w:rPr>
                <w:rStyle w:val="c7ee9e251"/>
              </w:rPr>
              <w:t>übernehmenden Partei</w:t>
            </w:r>
            <w:r>
              <w:rPr>
                <w:rStyle w:val="normal7"/>
              </w:rPr>
              <w:t xml:space="preserve"> das </w:t>
            </w:r>
            <w:r>
              <w:rPr>
                <w:rStyle w:val="c7ee9e251"/>
              </w:rPr>
              <w:t>Material</w:t>
            </w:r>
            <w:r>
              <w:rPr>
                <w:rStyle w:val="normal7"/>
              </w:rPr>
              <w:t xml:space="preserve"> zur Verfügung und gewährt ihr das Recht, das </w:t>
            </w:r>
            <w:r>
              <w:rPr>
                <w:rStyle w:val="c7ee9e251"/>
              </w:rPr>
              <w:t>Material</w:t>
            </w:r>
            <w:r>
              <w:rPr>
                <w:rStyle w:val="normal7"/>
              </w:rPr>
              <w:t xml:space="preserve"> für den </w:t>
            </w:r>
            <w:r>
              <w:rPr>
                <w:rStyle w:val="c7ee9e251"/>
              </w:rPr>
              <w:t>Zweck</w:t>
            </w:r>
            <w:r>
              <w:rPr>
                <w:rStyle w:val="normal7"/>
              </w:rPr>
              <w:t xml:space="preserve"> dieser </w:t>
            </w:r>
            <w:r>
              <w:rPr>
                <w:rStyle w:val="c7ee9e251"/>
              </w:rPr>
              <w:t>Vereinbarung</w:t>
            </w:r>
            <w:r>
              <w:rPr>
                <w:rStyle w:val="normal7"/>
              </w:rPr>
              <w:t xml:space="preserve"> zu nutzen.</w:t>
            </w:r>
          </w:p>
        </w:tc>
        <w:tc>
          <w:tcPr>
            <w:tcW w:w="4644" w:type="dxa"/>
          </w:tcPr>
          <w:p>
            <w:pPr>
              <w:pStyle w:val="NormalWeb"/>
              <w:spacing w:before="240" w:after="240"/>
              <w:rPr>
                <w:rFonts w:ascii="Arial" w:hAnsi="Arial" w:cs="Arial"/>
              </w:rPr>
            </w:pPr>
            <w:r>
              <w:rPr>
                <w:rStyle w:val="normal8"/>
              </w:rPr>
              <w:t xml:space="preserve">Im Rahmen des Zwecks wird der Umfang, in dessen Rahmen das Material verwendet werden darf, ausdrücklich festgelegt. Eine darüber hinausgehende Nutzung wird oft ausdrücklich ausgeschlossen (siehe 3.2. zu </w:t>
            </w:r>
            <w:proofErr w:type="spellStart"/>
            <w:r>
              <w:rPr>
                <w:rStyle w:val="normal8"/>
              </w:rPr>
              <w:t>Prohibited</w:t>
            </w:r>
            <w:proofErr w:type="spellEnd"/>
            <w:r>
              <w:rPr>
                <w:rStyle w:val="normal8"/>
              </w:rPr>
              <w:t xml:space="preserve"> </w:t>
            </w:r>
            <w:proofErr w:type="spellStart"/>
            <w:r>
              <w:rPr>
                <w:rStyle w:val="normal8"/>
              </w:rPr>
              <w:t>Use</w:t>
            </w:r>
            <w:proofErr w:type="spellEnd"/>
            <w:r>
              <w:rPr>
                <w:rStyle w:val="normal8"/>
              </w:rPr>
              <w:t>).</w:t>
            </w:r>
          </w:p>
        </w:tc>
      </w:tr>
      <w:tr>
        <w:tc>
          <w:tcPr>
            <w:tcW w:w="4644" w:type="dxa"/>
          </w:tcPr>
          <w:p>
            <w:pPr>
              <w:pStyle w:val="NormalWeb"/>
              <w:spacing w:before="240" w:after="240"/>
              <w:rPr>
                <w:rFonts w:ascii="Arial" w:hAnsi="Arial" w:cs="Arial"/>
              </w:rPr>
            </w:pPr>
            <w:r>
              <w:rPr>
                <w:rStyle w:val="normal7"/>
              </w:rPr>
              <w:t xml:space="preserve">3.2. Die </w:t>
            </w:r>
            <w:r>
              <w:rPr>
                <w:rStyle w:val="c7ee9e251"/>
              </w:rPr>
              <w:t>übernehmende Partei</w:t>
            </w:r>
            <w:r>
              <w:rPr>
                <w:rStyle w:val="normal7"/>
              </w:rPr>
              <w:t xml:space="preserve"> darf das </w:t>
            </w:r>
            <w:r>
              <w:rPr>
                <w:rStyle w:val="c7ee9e251"/>
              </w:rPr>
              <w:t>Material</w:t>
            </w:r>
            <w:r>
              <w:rPr>
                <w:rStyle w:val="normal7"/>
              </w:rPr>
              <w:t xml:space="preserve"> oder die </w:t>
            </w:r>
            <w:r>
              <w:rPr>
                <w:rStyle w:val="c7ee9e251"/>
              </w:rPr>
              <w:t>Modifikationen</w:t>
            </w:r>
            <w:r>
              <w:rPr>
                <w:rStyle w:val="normal7"/>
              </w:rPr>
              <w:t xml:space="preserve"> ausschließlich für den </w:t>
            </w:r>
            <w:r>
              <w:rPr>
                <w:rStyle w:val="c7ee9e251"/>
              </w:rPr>
              <w:t>Zweck</w:t>
            </w:r>
            <w:r>
              <w:rPr>
                <w:rStyle w:val="normal7"/>
              </w:rPr>
              <w:t xml:space="preserve"> dieser </w:t>
            </w:r>
            <w:r>
              <w:rPr>
                <w:rStyle w:val="c7ee9e251"/>
              </w:rPr>
              <w:t>Vereinbarung</w:t>
            </w:r>
            <w:r>
              <w:rPr>
                <w:rStyle w:val="normal7"/>
              </w:rPr>
              <w:t xml:space="preserve"> verwenden. Soweit die </w:t>
            </w:r>
            <w:r>
              <w:rPr>
                <w:rStyle w:val="c7ee9e251"/>
              </w:rPr>
              <w:t>übernehmende Partei</w:t>
            </w:r>
            <w:r>
              <w:rPr>
                <w:rStyle w:val="normal7"/>
              </w:rPr>
              <w:t xml:space="preserve"> beabsichtigt, das </w:t>
            </w:r>
            <w:r>
              <w:rPr>
                <w:rStyle w:val="c7ee9e251"/>
              </w:rPr>
              <w:t xml:space="preserve">Material </w:t>
            </w:r>
            <w:r>
              <w:rPr>
                <w:rStyle w:val="normal7"/>
              </w:rPr>
              <w:t xml:space="preserve">oder die </w:t>
            </w:r>
            <w:r>
              <w:rPr>
                <w:rStyle w:val="c7ee9e251"/>
              </w:rPr>
              <w:t>Modifikationen</w:t>
            </w:r>
            <w:r>
              <w:rPr>
                <w:rStyle w:val="normal7"/>
              </w:rPr>
              <w:t xml:space="preserve"> für eine </w:t>
            </w:r>
            <w:r>
              <w:rPr>
                <w:rStyle w:val="c7ee9e251"/>
              </w:rPr>
              <w:t>unzulässige Nutzung</w:t>
            </w:r>
            <w:r>
              <w:rPr>
                <w:rStyle w:val="normal7"/>
              </w:rPr>
              <w:t xml:space="preserve"> zu verwenden,[ </w:t>
            </w:r>
            <w:r>
              <w:rPr>
                <w:rStyle w:val="c7ee9e271"/>
              </w:rPr>
              <w:t>insbesondere</w:t>
            </w:r>
            <w:r>
              <w:rPr>
                <w:rStyle w:val="normal7"/>
              </w:rPr>
              <w:t xml:space="preserve"> </w:t>
            </w:r>
            <w:r>
              <w:rPr>
                <w:rStyle w:val="c7ee9e281"/>
              </w:rPr>
              <w:t>_______________</w:t>
            </w:r>
            <w:r>
              <w:rPr>
                <w:rStyle w:val="normal7"/>
              </w:rPr>
              <w:t xml:space="preserve"> (</w:t>
            </w:r>
            <w:r>
              <w:rPr>
                <w:rStyle w:val="c7ee9e301"/>
              </w:rPr>
              <w:t xml:space="preserve">Beschreibung </w:t>
            </w:r>
            <w:r>
              <w:rPr>
                <w:rStyle w:val="c7ee9e301"/>
              </w:rPr>
              <w:lastRenderedPageBreak/>
              <w:t>hinzufügen z.B. Auftragsforschung</w:t>
            </w:r>
            <w:r>
              <w:rPr>
                <w:rStyle w:val="normal7"/>
              </w:rPr>
              <w:t>)] ist der Abschluss einer gesonderten Vereinbarung über diese Verwendung erforderlich. [</w:t>
            </w:r>
            <w:r>
              <w:rPr>
                <w:rStyle w:val="c7ee9e271"/>
              </w:rPr>
              <w:t xml:space="preserve">Die </w:t>
            </w:r>
            <w:r>
              <w:rPr>
                <w:rStyle w:val="c7ee9e311"/>
              </w:rPr>
              <w:t>übernehmende Partei</w:t>
            </w:r>
            <w:r>
              <w:rPr>
                <w:rStyle w:val="c7ee9e271"/>
              </w:rPr>
              <w:t xml:space="preserve"> verpflichtet sich, vor Abschluss einer solchen Vereinbarung keinen Tätigkeiten im Rahmen einer </w:t>
            </w:r>
            <w:r>
              <w:rPr>
                <w:rStyle w:val="c7ee9e311"/>
              </w:rPr>
              <w:t>unzulässigen Nutzung</w:t>
            </w:r>
            <w:r>
              <w:rPr>
                <w:rStyle w:val="c7ee9e271"/>
              </w:rPr>
              <w:t xml:space="preserve"> nachzugehen. Die </w:t>
            </w:r>
            <w:r>
              <w:rPr>
                <w:rStyle w:val="c7ee9e311"/>
              </w:rPr>
              <w:t>übertragende Partei</w:t>
            </w:r>
            <w:r>
              <w:rPr>
                <w:rStyle w:val="c7ee9e271"/>
              </w:rPr>
              <w:t xml:space="preserve"> und die </w:t>
            </w:r>
            <w:r>
              <w:rPr>
                <w:rStyle w:val="c7ee9e311"/>
              </w:rPr>
              <w:t>übernehmende Partei</w:t>
            </w:r>
            <w:r>
              <w:rPr>
                <w:rStyle w:val="c7ee9e271"/>
              </w:rPr>
              <w:t xml:space="preserve"> werden die genannte Vereinbarung nach Treu und Glauben verhandeln; die genannte Vereinbarung muss Bestimmungen über eine angemessene Vergütung enthalten, die der </w:t>
            </w:r>
            <w:r>
              <w:rPr>
                <w:rStyle w:val="c7ee9e311"/>
              </w:rPr>
              <w:t>übertragenden Partei</w:t>
            </w:r>
            <w:r>
              <w:rPr>
                <w:rStyle w:val="c7ee9e271"/>
              </w:rPr>
              <w:t xml:space="preserve"> für die Nutzung durch die </w:t>
            </w:r>
            <w:r>
              <w:rPr>
                <w:rStyle w:val="c7ee9e311"/>
              </w:rPr>
              <w:t>übernehmende Partei</w:t>
            </w:r>
            <w:r>
              <w:rPr>
                <w:rStyle w:val="c7ee9e271"/>
              </w:rPr>
              <w:t xml:space="preserve"> zusteht. Die </w:t>
            </w:r>
            <w:r>
              <w:rPr>
                <w:rStyle w:val="c7ee9e311"/>
              </w:rPr>
              <w:t>übertragende Partei</w:t>
            </w:r>
            <w:r>
              <w:rPr>
                <w:rStyle w:val="c7ee9e271"/>
              </w:rPr>
              <w:t xml:space="preserve"> ist jedoch nicht zum Abschluss einer solchen Vereinbarung verpflichtet.</w:t>
            </w:r>
            <w:r>
              <w:rPr>
                <w:rStyle w:val="normal7"/>
              </w:rPr>
              <w:t>]</w:t>
            </w:r>
          </w:p>
        </w:tc>
        <w:tc>
          <w:tcPr>
            <w:tcW w:w="4644" w:type="dxa"/>
          </w:tcPr>
          <w:p>
            <w:pPr>
              <w:pStyle w:val="NormalWeb"/>
              <w:spacing w:before="240"/>
              <w:rPr>
                <w:rFonts w:eastAsia="Times New Roman"/>
              </w:rPr>
            </w:pPr>
            <w:r>
              <w:rPr>
                <w:rStyle w:val="normal8"/>
              </w:rPr>
              <w:lastRenderedPageBreak/>
              <w:t xml:space="preserve">Die hier genannten </w:t>
            </w:r>
            <w:proofErr w:type="spellStart"/>
            <w:r>
              <w:rPr>
                <w:rStyle w:val="cff0be241"/>
              </w:rPr>
              <w:t>türkis</w:t>
            </w:r>
            <w:proofErr w:type="spellEnd"/>
            <w:r>
              <w:rPr>
                <w:rStyle w:val="normal8"/>
              </w:rPr>
              <w:t xml:space="preserve"> unterlegten Optionen der näheren Beschreibung der untersagten Verwendung können nur dann gewählt werden, wenn sie nicht ausdrücklich vom Zweck erfasst sind.</w:t>
            </w:r>
          </w:p>
          <w:p>
            <w:pPr>
              <w:pStyle w:val="NormalWeb"/>
              <w:spacing w:before="240" w:after="240"/>
              <w:rPr>
                <w:rFonts w:ascii="Arial" w:hAnsi="Arial" w:cs="Arial"/>
              </w:rPr>
            </w:pPr>
            <w:r>
              <w:rPr>
                <w:rStyle w:val="normal8"/>
              </w:rPr>
              <w:t xml:space="preserve">Dieser Punkt legt noch einmal ausdrücklich fest, dass das Material nicht über den </w:t>
            </w:r>
            <w:r>
              <w:rPr>
                <w:rStyle w:val="normal8"/>
              </w:rPr>
              <w:lastRenderedPageBreak/>
              <w:t xml:space="preserve">vereinbarten Zweck hinausgehend verwendet werden darf. Die </w:t>
            </w:r>
            <w:proofErr w:type="spellStart"/>
            <w:r>
              <w:rPr>
                <w:rStyle w:val="cff0be241"/>
              </w:rPr>
              <w:t>türkis</w:t>
            </w:r>
            <w:proofErr w:type="spellEnd"/>
            <w:r>
              <w:rPr>
                <w:rStyle w:val="normal8"/>
              </w:rPr>
              <w:t xml:space="preserve"> unterlegte Option legt einen (möglichen) Rahmen fest, wie vorzugehen ist, wenn der Empfänger das Material oder Modifikationen für andere / weitere Zwecke verwenden möchte.</w:t>
            </w:r>
          </w:p>
        </w:tc>
      </w:tr>
      <w:tr>
        <w:tc>
          <w:tcPr>
            <w:tcW w:w="4644" w:type="dxa"/>
          </w:tcPr>
          <w:p>
            <w:pPr>
              <w:pStyle w:val="NormalWeb"/>
              <w:spacing w:before="240"/>
              <w:jc w:val="center"/>
            </w:pPr>
            <w:r>
              <w:rPr>
                <w:rStyle w:val="c2530e411"/>
              </w:rPr>
              <w:lastRenderedPageBreak/>
              <w:t>4.</w:t>
            </w:r>
          </w:p>
          <w:p>
            <w:pPr>
              <w:pStyle w:val="NormalWeb"/>
              <w:spacing w:after="240"/>
              <w:jc w:val="center"/>
              <w:rPr>
                <w:rFonts w:ascii="Arial" w:hAnsi="Arial" w:cs="Arial"/>
              </w:rPr>
            </w:pPr>
            <w:r>
              <w:rPr>
                <w:rStyle w:val="c2530e411"/>
              </w:rPr>
              <w:t>PFLICHTEN DER ÜBERNEHMENDEN PARTEI</w:t>
            </w:r>
          </w:p>
        </w:tc>
        <w:tc>
          <w:tcPr>
            <w:tcW w:w="4644" w:type="dxa"/>
          </w:tcPr>
          <w:p>
            <w:pPr>
              <w:rPr>
                <w:rFonts w:ascii="Arial" w:hAnsi="Arial" w:cs="Arial"/>
              </w:rPr>
            </w:pPr>
          </w:p>
        </w:tc>
      </w:tr>
      <w:tr>
        <w:tc>
          <w:tcPr>
            <w:tcW w:w="4644" w:type="dxa"/>
          </w:tcPr>
          <w:p>
            <w:pPr>
              <w:pStyle w:val="NormalWeb"/>
              <w:spacing w:before="240" w:after="240"/>
              <w:rPr>
                <w:rFonts w:eastAsia="Times New Roman"/>
              </w:rPr>
            </w:pPr>
            <w:r>
              <w:rPr>
                <w:rStyle w:val="normal9"/>
              </w:rPr>
              <w:t xml:space="preserve">4.1. Die </w:t>
            </w:r>
            <w:r>
              <w:rPr>
                <w:rStyle w:val="c2530e401"/>
              </w:rPr>
              <w:t>übernehmende Partei</w:t>
            </w:r>
            <w:r>
              <w:rPr>
                <w:rStyle w:val="normal9"/>
              </w:rPr>
              <w:t xml:space="preserve"> darf das </w:t>
            </w:r>
            <w:r>
              <w:rPr>
                <w:rStyle w:val="c2530e401"/>
              </w:rPr>
              <w:t>Material</w:t>
            </w:r>
            <w:r>
              <w:rPr>
                <w:rStyle w:val="normal9"/>
              </w:rPr>
              <w:t xml:space="preserve"> oder die </w:t>
            </w:r>
            <w:r>
              <w:rPr>
                <w:rStyle w:val="c2530e401"/>
              </w:rPr>
              <w:t>Modifikationen</w:t>
            </w:r>
            <w:r>
              <w:rPr>
                <w:rStyle w:val="normal9"/>
              </w:rPr>
              <w:t xml:space="preserve"> ausschließlich durch unter ihrer Aufsicht stehendes [</w:t>
            </w:r>
            <w:r>
              <w:rPr>
                <w:rStyle w:val="c2530e421"/>
              </w:rPr>
              <w:t>Labor-</w:t>
            </w:r>
            <w:r>
              <w:rPr>
                <w:rStyle w:val="normal9"/>
              </w:rPr>
              <w:t>] Personal nutzen [</w:t>
            </w:r>
            <w:r>
              <w:rPr>
                <w:rStyle w:val="c2530e421"/>
              </w:rPr>
              <w:t xml:space="preserve">und in keinem anderen Labor als dem Labor der </w:t>
            </w:r>
            <w:r>
              <w:rPr>
                <w:rStyle w:val="c2530e431"/>
              </w:rPr>
              <w:t>übernehmenden Partei</w:t>
            </w:r>
            <w:r>
              <w:rPr>
                <w:rStyle w:val="normal9"/>
              </w:rPr>
              <w:t xml:space="preserve">]. Die </w:t>
            </w:r>
            <w:r>
              <w:rPr>
                <w:rStyle w:val="c2530e401"/>
              </w:rPr>
              <w:t>übernehmende Partei</w:t>
            </w:r>
            <w:r>
              <w:rPr>
                <w:rStyle w:val="normal9"/>
              </w:rPr>
              <w:t xml:space="preserve"> darf anderen Personen als dem unter ihrer Aufsicht stehenden [</w:t>
            </w:r>
            <w:r>
              <w:rPr>
                <w:rStyle w:val="c2530e421"/>
              </w:rPr>
              <w:t>Labor-</w:t>
            </w:r>
            <w:r>
              <w:rPr>
                <w:rStyle w:val="normal9"/>
              </w:rPr>
              <w:t xml:space="preserve">] Personal das </w:t>
            </w:r>
            <w:r>
              <w:rPr>
                <w:rStyle w:val="c2530e401"/>
              </w:rPr>
              <w:t>Material</w:t>
            </w:r>
            <w:r>
              <w:rPr>
                <w:rStyle w:val="normal9"/>
              </w:rPr>
              <w:t xml:space="preserve"> oder die </w:t>
            </w:r>
            <w:r>
              <w:rPr>
                <w:rStyle w:val="c2530e401"/>
              </w:rPr>
              <w:t>Modifikationen</w:t>
            </w:r>
            <w:r>
              <w:rPr>
                <w:rStyle w:val="normal9"/>
              </w:rPr>
              <w:t xml:space="preserve"> nicht zur Verfügung stellen oder ihnen dazu Zugang gewähren, und die </w:t>
            </w:r>
            <w:r>
              <w:rPr>
                <w:rStyle w:val="c2530e401"/>
              </w:rPr>
              <w:t>übernehmende Partei</w:t>
            </w:r>
            <w:r>
              <w:rPr>
                <w:rStyle w:val="normal9"/>
              </w:rPr>
              <w:t xml:space="preserve"> hat sicherzustellen, dass das </w:t>
            </w:r>
            <w:r>
              <w:rPr>
                <w:rStyle w:val="c2530e401"/>
              </w:rPr>
              <w:t>Material</w:t>
            </w:r>
            <w:r>
              <w:rPr>
                <w:rStyle w:val="normal9"/>
              </w:rPr>
              <w:t xml:space="preserve"> oder die </w:t>
            </w:r>
            <w:r>
              <w:rPr>
                <w:rStyle w:val="c2530e401"/>
              </w:rPr>
              <w:t>Modifikationen</w:t>
            </w:r>
            <w:r>
              <w:rPr>
                <w:rStyle w:val="normal9"/>
              </w:rPr>
              <w:t xml:space="preserve"> ohne die vorherige schriftliche Zustimmung der </w:t>
            </w:r>
            <w:r>
              <w:rPr>
                <w:rStyle w:val="c2530e401"/>
              </w:rPr>
              <w:t>übernehmenden Partei</w:t>
            </w:r>
            <w:r>
              <w:rPr>
                <w:rStyle w:val="normal9"/>
              </w:rPr>
              <w:t xml:space="preserve"> keinen unbefugten </w:t>
            </w:r>
            <w:r>
              <w:rPr>
                <w:rStyle w:val="c2530e401"/>
              </w:rPr>
              <w:t>Dritten</w:t>
            </w:r>
            <w:r>
              <w:rPr>
                <w:rStyle w:val="normal9"/>
              </w:rPr>
              <w:t xml:space="preserve"> verfügbar oder zugänglich gemacht werden. Als unbefugte </w:t>
            </w:r>
            <w:r>
              <w:rPr>
                <w:rStyle w:val="c2530e401"/>
              </w:rPr>
              <w:t>Dritte</w:t>
            </w:r>
            <w:r>
              <w:rPr>
                <w:rStyle w:val="normal9"/>
              </w:rPr>
              <w:t xml:space="preserve"> gelten auch sämtliche </w:t>
            </w:r>
            <w:proofErr w:type="spellStart"/>
            <w:r>
              <w:rPr>
                <w:rStyle w:val="normal9"/>
              </w:rPr>
              <w:t>MitarbeiterInnen</w:t>
            </w:r>
            <w:proofErr w:type="spellEnd"/>
            <w:r>
              <w:rPr>
                <w:rStyle w:val="normal9"/>
              </w:rPr>
              <w:t xml:space="preserve"> anderer Abteilungen[</w:t>
            </w:r>
            <w:r>
              <w:rPr>
                <w:rStyle w:val="c2530e421"/>
              </w:rPr>
              <w:t xml:space="preserve"> Institute</w:t>
            </w:r>
            <w:r>
              <w:rPr>
                <w:rStyle w:val="normal9"/>
              </w:rPr>
              <w:t xml:space="preserve">], die nicht mit der Erfüllung der in dieser </w:t>
            </w:r>
            <w:r>
              <w:rPr>
                <w:rStyle w:val="normal9"/>
                <w:b/>
              </w:rPr>
              <w:t>Vereinbarung</w:t>
            </w:r>
            <w:r>
              <w:rPr>
                <w:rStyle w:val="normal9"/>
              </w:rPr>
              <w:t xml:space="preserve"> dargelegten Aufgaben betraut sind. </w:t>
            </w:r>
          </w:p>
          <w:p>
            <w:pPr>
              <w:pStyle w:val="NormalWeb"/>
              <w:spacing w:before="240" w:after="240"/>
              <w:rPr>
                <w:rFonts w:ascii="Arial" w:hAnsi="Arial" w:cs="Arial"/>
              </w:rPr>
            </w:pPr>
            <w:r>
              <w:rPr>
                <w:rStyle w:val="normal9"/>
              </w:rPr>
              <w:t xml:space="preserve">Die </w:t>
            </w:r>
            <w:r>
              <w:rPr>
                <w:rStyle w:val="c2530e401"/>
              </w:rPr>
              <w:t>übernehmende Partei</w:t>
            </w:r>
            <w:r>
              <w:rPr>
                <w:rStyle w:val="normal9"/>
              </w:rPr>
              <w:t xml:space="preserve"> hat das </w:t>
            </w:r>
            <w:r>
              <w:rPr>
                <w:rStyle w:val="c2530e401"/>
              </w:rPr>
              <w:t>Material</w:t>
            </w:r>
            <w:r>
              <w:rPr>
                <w:rStyle w:val="normal9"/>
              </w:rPr>
              <w:t xml:space="preserve"> oder die </w:t>
            </w:r>
            <w:r>
              <w:rPr>
                <w:rStyle w:val="c2530e401"/>
              </w:rPr>
              <w:t>Modifikationen</w:t>
            </w:r>
            <w:r>
              <w:rPr>
                <w:rStyle w:val="normal9"/>
              </w:rPr>
              <w:t xml:space="preserve"> an einem sicheren Ort aufzubewahren und darf den Aufbewahrungsort des </w:t>
            </w:r>
            <w:r>
              <w:rPr>
                <w:rStyle w:val="c2530e401"/>
              </w:rPr>
              <w:t>Materials</w:t>
            </w:r>
            <w:r>
              <w:rPr>
                <w:rStyle w:val="normal9"/>
              </w:rPr>
              <w:t xml:space="preserve"> oder der </w:t>
            </w:r>
            <w:r>
              <w:rPr>
                <w:rStyle w:val="c2530e401"/>
              </w:rPr>
              <w:t>Modifikationen</w:t>
            </w:r>
            <w:r>
              <w:rPr>
                <w:rStyle w:val="normal9"/>
              </w:rPr>
              <w:t xml:space="preserve"> nur so weit ändern als es der </w:t>
            </w:r>
            <w:r>
              <w:rPr>
                <w:rStyle w:val="c2530e401"/>
              </w:rPr>
              <w:t>Zweck</w:t>
            </w:r>
            <w:r>
              <w:rPr>
                <w:rStyle w:val="normal9"/>
              </w:rPr>
              <w:t xml:space="preserve"> dieser </w:t>
            </w:r>
            <w:r>
              <w:rPr>
                <w:rStyle w:val="c2530e401"/>
              </w:rPr>
              <w:t>Vereinbarung</w:t>
            </w:r>
            <w:r>
              <w:rPr>
                <w:rStyle w:val="normal9"/>
              </w:rPr>
              <w:t xml:space="preserve"> erfordert. Über Verlangen der </w:t>
            </w:r>
            <w:r>
              <w:rPr>
                <w:rStyle w:val="c2530e401"/>
              </w:rPr>
              <w:t>übertragenden Partei</w:t>
            </w:r>
            <w:r>
              <w:rPr>
                <w:rStyle w:val="normal9"/>
              </w:rPr>
              <w:t xml:space="preserve"> gibt die </w:t>
            </w:r>
            <w:r>
              <w:rPr>
                <w:rStyle w:val="c2530e401"/>
              </w:rPr>
              <w:t>übernehmende Partei</w:t>
            </w:r>
            <w:r>
              <w:rPr>
                <w:rStyle w:val="normal9"/>
              </w:rPr>
              <w:t xml:space="preserve"> jederzeit </w:t>
            </w:r>
            <w:r>
              <w:rPr>
                <w:rStyle w:val="normal9"/>
              </w:rPr>
              <w:lastRenderedPageBreak/>
              <w:t xml:space="preserve">bekannt, wo sich das </w:t>
            </w:r>
            <w:r>
              <w:rPr>
                <w:rStyle w:val="c2530e401"/>
              </w:rPr>
              <w:t>Material</w:t>
            </w:r>
            <w:r>
              <w:rPr>
                <w:rStyle w:val="normal9"/>
              </w:rPr>
              <w:t xml:space="preserve"> oder die </w:t>
            </w:r>
            <w:r>
              <w:rPr>
                <w:rStyle w:val="c2530e401"/>
              </w:rPr>
              <w:t>Modifikationen</w:t>
            </w:r>
            <w:r>
              <w:rPr>
                <w:rStyle w:val="normal9"/>
              </w:rPr>
              <w:t xml:space="preserve"> gerade befinden. Wenn die </w:t>
            </w:r>
            <w:r>
              <w:rPr>
                <w:rStyle w:val="c2530e401"/>
              </w:rPr>
              <w:t>übernehmende Partei</w:t>
            </w:r>
            <w:r>
              <w:rPr>
                <w:rStyle w:val="normal9"/>
              </w:rPr>
              <w:t xml:space="preserve"> Lagereinrichtungen nutzt, die auch von </w:t>
            </w:r>
            <w:r>
              <w:rPr>
                <w:rStyle w:val="c2530e401"/>
              </w:rPr>
              <w:t>Dritten</w:t>
            </w:r>
            <w:r>
              <w:rPr>
                <w:rStyle w:val="normal9"/>
              </w:rPr>
              <w:t xml:space="preserve"> genutzt werden, muss die </w:t>
            </w:r>
            <w:r>
              <w:rPr>
                <w:rStyle w:val="c2530e401"/>
              </w:rPr>
              <w:t>übernehmende Partei</w:t>
            </w:r>
            <w:r>
              <w:rPr>
                <w:rStyle w:val="normal9"/>
              </w:rPr>
              <w:t xml:space="preserve"> alle zumutbaren Schritte setzen, um sicherzustellen, dass das </w:t>
            </w:r>
            <w:r>
              <w:rPr>
                <w:rStyle w:val="c2530e401"/>
              </w:rPr>
              <w:t>Material</w:t>
            </w:r>
            <w:r>
              <w:rPr>
                <w:rStyle w:val="normal9"/>
              </w:rPr>
              <w:t xml:space="preserve"> oder die </w:t>
            </w:r>
            <w:r>
              <w:rPr>
                <w:rStyle w:val="c2530e401"/>
              </w:rPr>
              <w:t xml:space="preserve">Modifikationen </w:t>
            </w:r>
            <w:r>
              <w:rPr>
                <w:rStyle w:val="normal9"/>
              </w:rPr>
              <w:t>[</w:t>
            </w:r>
            <w:r>
              <w:rPr>
                <w:rStyle w:val="c2530e421"/>
              </w:rPr>
              <w:t xml:space="preserve">im erforderlichen Ausmaß </w:t>
            </w:r>
            <w:r>
              <w:rPr>
                <w:rStyle w:val="c2530e431"/>
              </w:rPr>
              <w:t>Dritten</w:t>
            </w:r>
            <w:r>
              <w:rPr>
                <w:rStyle w:val="c2530e421"/>
              </w:rPr>
              <w:t xml:space="preserve"> zugänglich gemacht werden können</w:t>
            </w:r>
            <w:r>
              <w:rPr>
                <w:rStyle w:val="normal9"/>
              </w:rPr>
              <w:t>] [</w:t>
            </w:r>
            <w:r>
              <w:rPr>
                <w:rStyle w:val="c2530e431"/>
              </w:rPr>
              <w:t>Dritten</w:t>
            </w:r>
            <w:r>
              <w:rPr>
                <w:rStyle w:val="c2530e421"/>
              </w:rPr>
              <w:t xml:space="preserve"> nicht zugänglich gemacht werden</w:t>
            </w:r>
            <w:r>
              <w:rPr>
                <w:rStyle w:val="normal9"/>
              </w:rPr>
              <w:t>]. (</w:t>
            </w:r>
            <w:r>
              <w:rPr>
                <w:rStyle w:val="c2530e451"/>
              </w:rPr>
              <w:t>Alternative wählen</w:t>
            </w:r>
            <w:r>
              <w:rPr>
                <w:rStyle w:val="normal9"/>
              </w:rPr>
              <w:t>)</w:t>
            </w:r>
          </w:p>
        </w:tc>
        <w:tc>
          <w:tcPr>
            <w:tcW w:w="4644" w:type="dxa"/>
          </w:tcPr>
          <w:p>
            <w:pPr>
              <w:pStyle w:val="NormalWeb"/>
              <w:spacing w:before="240" w:after="240"/>
              <w:rPr>
                <w:rFonts w:ascii="Arial" w:hAnsi="Arial" w:cs="Arial"/>
              </w:rPr>
            </w:pPr>
            <w:r>
              <w:rPr>
                <w:rStyle w:val="normal10"/>
              </w:rPr>
              <w:lastRenderedPageBreak/>
              <w:t>Nach diesem Punkt soll sichergestellt werden, dass nur qualifiziertes Personal und keine unbefugten Dritten Zugang zum Material haben.</w:t>
            </w:r>
          </w:p>
        </w:tc>
      </w:tr>
      <w:tr>
        <w:tc>
          <w:tcPr>
            <w:tcW w:w="4644" w:type="dxa"/>
          </w:tcPr>
          <w:p>
            <w:pPr>
              <w:pStyle w:val="NormalWeb"/>
              <w:spacing w:before="240" w:after="240"/>
              <w:rPr>
                <w:rFonts w:ascii="Arial" w:hAnsi="Arial" w:cs="Arial"/>
              </w:rPr>
            </w:pPr>
            <w:r>
              <w:rPr>
                <w:rStyle w:val="normal9"/>
              </w:rPr>
              <w:lastRenderedPageBreak/>
              <w:t xml:space="preserve">4.2. Die </w:t>
            </w:r>
            <w:r>
              <w:rPr>
                <w:rStyle w:val="c2530e401"/>
              </w:rPr>
              <w:t>übernehmende Partei</w:t>
            </w:r>
            <w:r>
              <w:rPr>
                <w:rStyle w:val="normal9"/>
              </w:rPr>
              <w:t xml:space="preserve"> hat alle Erkundigungen oder allfällige Rückfragen bezüglich des </w:t>
            </w:r>
            <w:r>
              <w:rPr>
                <w:rStyle w:val="c2530e401"/>
              </w:rPr>
              <w:t>Materials</w:t>
            </w:r>
            <w:r>
              <w:rPr>
                <w:rStyle w:val="normal9"/>
              </w:rPr>
              <w:t xml:space="preserve"> an die </w:t>
            </w:r>
            <w:r>
              <w:rPr>
                <w:rStyle w:val="c2530e401"/>
              </w:rPr>
              <w:t>übertragende Partei</w:t>
            </w:r>
            <w:r>
              <w:rPr>
                <w:rStyle w:val="normal9"/>
              </w:rPr>
              <w:t> weiterzuleiten. [</w:t>
            </w:r>
            <w:r>
              <w:rPr>
                <w:rStyle w:val="c2530e461"/>
              </w:rPr>
              <w:t>Alternative</w:t>
            </w:r>
            <w:r>
              <w:rPr>
                <w:rStyle w:val="normal9"/>
              </w:rPr>
              <w:t xml:space="preserve">: Im Falle von Erkundigungen oder Rückfragen bezüglich des </w:t>
            </w:r>
            <w:r>
              <w:rPr>
                <w:rStyle w:val="c2530e401"/>
              </w:rPr>
              <w:t>Materials</w:t>
            </w:r>
            <w:r>
              <w:rPr>
                <w:rStyle w:val="normal9"/>
              </w:rPr>
              <w:t xml:space="preserve"> kann die </w:t>
            </w:r>
            <w:r>
              <w:rPr>
                <w:rStyle w:val="c2530e401"/>
              </w:rPr>
              <w:t>übernehmende Partei</w:t>
            </w:r>
            <w:r>
              <w:rPr>
                <w:rStyle w:val="normal9"/>
              </w:rPr>
              <w:t xml:space="preserve"> die anfragende Person an die </w:t>
            </w:r>
            <w:r>
              <w:rPr>
                <w:rStyle w:val="c2530e401"/>
              </w:rPr>
              <w:t>übertragende Partei</w:t>
            </w:r>
            <w:r>
              <w:rPr>
                <w:rStyle w:val="normal9"/>
              </w:rPr>
              <w:t xml:space="preserve"> verweisen.]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9"/>
              </w:rPr>
              <w:t>[</w:t>
            </w:r>
            <w:r>
              <w:rPr>
                <w:rStyle w:val="c2530e471"/>
              </w:rPr>
              <w:t xml:space="preserve">4.3. Durch diese </w:t>
            </w:r>
            <w:r>
              <w:rPr>
                <w:rStyle w:val="c2530e481"/>
              </w:rPr>
              <w:t>Vereinbarung</w:t>
            </w:r>
            <w:r>
              <w:rPr>
                <w:rStyle w:val="c2530e471"/>
              </w:rPr>
              <w:t xml:space="preserve"> wird weder das Recht der </w:t>
            </w:r>
            <w:r>
              <w:rPr>
                <w:rStyle w:val="c2530e481"/>
              </w:rPr>
              <w:t>übertragenden Partei</w:t>
            </w:r>
            <w:r>
              <w:rPr>
                <w:rStyle w:val="c2530e471"/>
              </w:rPr>
              <w:t xml:space="preserve">, das </w:t>
            </w:r>
            <w:r>
              <w:rPr>
                <w:rStyle w:val="c2530e481"/>
              </w:rPr>
              <w:t>Material</w:t>
            </w:r>
            <w:r>
              <w:rPr>
                <w:rStyle w:val="c2530e471"/>
              </w:rPr>
              <w:t xml:space="preserve"> anderen kommerziellen oder nicht-kommerziellen Institutionen zur Verfügung zu stellen, noch das Recht der </w:t>
            </w:r>
            <w:r>
              <w:rPr>
                <w:rStyle w:val="c2530e481"/>
              </w:rPr>
              <w:t>übertragenden Partei</w:t>
            </w:r>
            <w:r>
              <w:rPr>
                <w:rStyle w:val="c2530e471"/>
              </w:rPr>
              <w:t xml:space="preserve">, Dokumente in Bezug auf das </w:t>
            </w:r>
            <w:r>
              <w:rPr>
                <w:rStyle w:val="c2530e481"/>
              </w:rPr>
              <w:t xml:space="preserve">Material </w:t>
            </w:r>
            <w:r>
              <w:rPr>
                <w:rStyle w:val="c2530e471"/>
              </w:rPr>
              <w:t>zu veröffentlichen, eingeschränkt.</w:t>
            </w:r>
            <w:r>
              <w:rPr>
                <w:rStyle w:val="c2530e491"/>
              </w:rPr>
              <w:t>]</w:t>
            </w:r>
          </w:p>
        </w:tc>
        <w:tc>
          <w:tcPr>
            <w:tcW w:w="4644" w:type="dxa"/>
          </w:tcPr>
          <w:p>
            <w:pPr>
              <w:pStyle w:val="NormalWeb"/>
              <w:spacing w:before="240" w:after="240"/>
              <w:rPr>
                <w:rFonts w:ascii="Arial" w:hAnsi="Arial" w:cs="Arial"/>
              </w:rPr>
            </w:pPr>
            <w:r>
              <w:rPr>
                <w:rStyle w:val="normal10"/>
              </w:rPr>
              <w:t>Diese Bestimmung, insbesondere der erste Satz, ist – zumeist - nur dann sinnvoll, wenn der Empfänger nicht Eigentümer des Materials geworden ist.</w:t>
            </w:r>
          </w:p>
        </w:tc>
      </w:tr>
      <w:tr>
        <w:tc>
          <w:tcPr>
            <w:tcW w:w="4644" w:type="dxa"/>
          </w:tcPr>
          <w:p>
            <w:pPr>
              <w:pStyle w:val="NormalWeb"/>
              <w:spacing w:before="240" w:after="240"/>
            </w:pPr>
            <w:r>
              <w:rPr>
                <w:rStyle w:val="c2530e471"/>
              </w:rPr>
              <w:t xml:space="preserve">4.4. Ohne die vorherige Genehmigung durch die </w:t>
            </w:r>
            <w:r>
              <w:rPr>
                <w:rStyle w:val="c2530e481"/>
              </w:rPr>
              <w:t>übertragende Partei</w:t>
            </w:r>
            <w:r>
              <w:rPr>
                <w:rStyle w:val="c2530e471"/>
              </w:rPr>
              <w:t xml:space="preserve"> darf die </w:t>
            </w:r>
            <w:r>
              <w:rPr>
                <w:rStyle w:val="c2530e481"/>
              </w:rPr>
              <w:t>übernehmende Partei</w:t>
            </w:r>
            <w:r>
              <w:rPr>
                <w:rStyle w:val="c2530e471"/>
              </w:rPr>
              <w:t xml:space="preserve"> das </w:t>
            </w:r>
            <w:r>
              <w:rPr>
                <w:rStyle w:val="c2530e481"/>
              </w:rPr>
              <w:t>Material</w:t>
            </w:r>
            <w:r>
              <w:rPr>
                <w:rStyle w:val="c2530e471"/>
              </w:rPr>
              <w:t xml:space="preserve"> nicht an </w:t>
            </w:r>
            <w:r>
              <w:rPr>
                <w:rStyle w:val="c2530e481"/>
              </w:rPr>
              <w:t>Dritte</w:t>
            </w:r>
            <w:r>
              <w:rPr>
                <w:rStyle w:val="c2530e471"/>
              </w:rPr>
              <w:t xml:space="preserve"> zur Nutzung weitergeben. Ungeachtet des vorangegangenen Satzes hat die </w:t>
            </w:r>
            <w:r>
              <w:rPr>
                <w:rStyle w:val="c2530e481"/>
              </w:rPr>
              <w:t>übernehmende Partei</w:t>
            </w:r>
            <w:r>
              <w:rPr>
                <w:rStyle w:val="c2530e471"/>
              </w:rPr>
              <w:t xml:space="preserve"> das uneingeschränkte Recht, Substanzen weiterzugeben, die von der </w:t>
            </w:r>
            <w:r>
              <w:rPr>
                <w:rStyle w:val="c2530e481"/>
              </w:rPr>
              <w:t>übernehmenden Partei</w:t>
            </w:r>
            <w:r>
              <w:rPr>
                <w:rStyle w:val="c2530e471"/>
              </w:rPr>
              <w:t xml:space="preserve"> durch die Nutzung des </w:t>
            </w:r>
            <w:r>
              <w:rPr>
                <w:rStyle w:val="c2530e481"/>
              </w:rPr>
              <w:t>Materials</w:t>
            </w:r>
            <w:r>
              <w:rPr>
                <w:rStyle w:val="c2530e471"/>
              </w:rPr>
              <w:t xml:space="preserve"> geschaffen wurden</w:t>
            </w:r>
            <w:r>
              <w:rPr>
                <w:rStyle w:val="normal9"/>
              </w:rPr>
              <w:t>[</w:t>
            </w:r>
            <w:r>
              <w:rPr>
                <w:rStyle w:val="c2530e421"/>
              </w:rPr>
              <w:t xml:space="preserve">; dies jedoch nur, wenn es sich bei den Substanzen nicht um </w:t>
            </w:r>
            <w:r>
              <w:rPr>
                <w:rStyle w:val="c2530e431"/>
              </w:rPr>
              <w:t>Nachkommenschaft</w:t>
            </w:r>
            <w:r>
              <w:rPr>
                <w:rStyle w:val="c2530e421"/>
              </w:rPr>
              <w:t xml:space="preserve">, </w:t>
            </w:r>
            <w:proofErr w:type="spellStart"/>
            <w:r>
              <w:rPr>
                <w:rStyle w:val="c2530e431"/>
              </w:rPr>
              <w:t>unmodifizierte</w:t>
            </w:r>
            <w:proofErr w:type="spellEnd"/>
            <w:r>
              <w:rPr>
                <w:rStyle w:val="c2530e431"/>
              </w:rPr>
              <w:t xml:space="preserve"> Derivate</w:t>
            </w:r>
            <w:r>
              <w:rPr>
                <w:rStyle w:val="c2530e421"/>
              </w:rPr>
              <w:t xml:space="preserve"> oder </w:t>
            </w:r>
            <w:r>
              <w:rPr>
                <w:rStyle w:val="c2530e431"/>
              </w:rPr>
              <w:t>Modifikationen</w:t>
            </w:r>
            <w:r>
              <w:rPr>
                <w:rStyle w:val="c2530e421"/>
              </w:rPr>
              <w:t xml:space="preserve"> handelt</w:t>
            </w:r>
            <w:r>
              <w:rPr>
                <w:rStyle w:val="normal9"/>
              </w:rPr>
              <w:t>].</w:t>
            </w:r>
          </w:p>
          <w:p>
            <w:pPr>
              <w:pStyle w:val="NormalWeb"/>
              <w:spacing w:before="240" w:after="240"/>
              <w:rPr>
                <w:rFonts w:ascii="Arial" w:hAnsi="Arial" w:cs="Arial"/>
                <w:color w:val="000000"/>
                <w:sz w:val="22"/>
                <w:szCs w:val="22"/>
                <w:shd w:val="clear" w:color="auto" w:fill="FF00FF"/>
              </w:rPr>
            </w:pPr>
            <w:r>
              <w:rPr>
                <w:rStyle w:val="c2530e471"/>
              </w:rPr>
              <w:t xml:space="preserve">Sofern es nicht im Rahmen des </w:t>
            </w:r>
            <w:r>
              <w:rPr>
                <w:rStyle w:val="c2530e481"/>
              </w:rPr>
              <w:t>Zwecks</w:t>
            </w:r>
            <w:r>
              <w:rPr>
                <w:rStyle w:val="c2530e471"/>
              </w:rPr>
              <w:t xml:space="preserve"> erfolgt, darf das </w:t>
            </w:r>
            <w:r>
              <w:rPr>
                <w:rStyle w:val="c2530e481"/>
              </w:rPr>
              <w:t>Material</w:t>
            </w:r>
            <w:r>
              <w:rPr>
                <w:rStyle w:val="c2530e471"/>
              </w:rPr>
              <w:t xml:space="preserve"> ohne das vorherige schriftliche Einverständnis der </w:t>
            </w:r>
            <w:r>
              <w:rPr>
                <w:rStyle w:val="c2530e481"/>
              </w:rPr>
              <w:t>übertragenden Partei</w:t>
            </w:r>
            <w:r>
              <w:rPr>
                <w:rStyle w:val="c2530e471"/>
              </w:rPr>
              <w:t xml:space="preserve"> nicht übertragen, zum Verkauf angeboten oder in sonstiger Weise verwendet werden.</w:t>
            </w:r>
          </w:p>
        </w:tc>
        <w:tc>
          <w:tcPr>
            <w:tcW w:w="4644" w:type="dxa"/>
          </w:tcPr>
          <w:p>
            <w:pPr>
              <w:pStyle w:val="NormalWeb"/>
              <w:spacing w:before="240" w:after="240"/>
              <w:rPr>
                <w:rFonts w:ascii="Arial" w:hAnsi="Arial" w:cs="Arial"/>
              </w:rPr>
            </w:pPr>
            <w:r>
              <w:rPr>
                <w:rStyle w:val="normal10"/>
              </w:rPr>
              <w:t xml:space="preserve">Dieser Punkt darf nicht im Widerspruch zum </w:t>
            </w:r>
            <w:proofErr w:type="spellStart"/>
            <w:r>
              <w:rPr>
                <w:rStyle w:val="normal10"/>
              </w:rPr>
              <w:t>informed</w:t>
            </w:r>
            <w:proofErr w:type="spellEnd"/>
            <w:r>
              <w:rPr>
                <w:rStyle w:val="normal10"/>
              </w:rPr>
              <w:t xml:space="preserve"> </w:t>
            </w:r>
            <w:proofErr w:type="spellStart"/>
            <w:r>
              <w:rPr>
                <w:rStyle w:val="normal10"/>
              </w:rPr>
              <w:t>consent</w:t>
            </w:r>
            <w:proofErr w:type="spellEnd"/>
            <w:r>
              <w:rPr>
                <w:rStyle w:val="normal10"/>
              </w:rPr>
              <w:t xml:space="preserve"> stehen. Ist der Empfänger Eigentum des Materials geworden, wird man ihn eine Weitergabe an Dritte grundsätzlich nicht verbieten können.</w:t>
            </w:r>
          </w:p>
        </w:tc>
      </w:tr>
      <w:tr>
        <w:tc>
          <w:tcPr>
            <w:tcW w:w="4644" w:type="dxa"/>
          </w:tcPr>
          <w:p>
            <w:pPr>
              <w:pStyle w:val="NormalWeb"/>
              <w:spacing w:before="240" w:after="240"/>
              <w:rPr>
                <w:rFonts w:ascii="Arial" w:hAnsi="Arial" w:cs="Arial"/>
              </w:rPr>
            </w:pPr>
            <w:r>
              <w:rPr>
                <w:rStyle w:val="c2530e461"/>
              </w:rPr>
              <w:lastRenderedPageBreak/>
              <w:t>Alternative</w:t>
            </w:r>
            <w:r>
              <w:rPr>
                <w:rStyle w:val="normal9"/>
              </w:rPr>
              <w:t xml:space="preserve">: [4.4. Die </w:t>
            </w:r>
            <w:r>
              <w:rPr>
                <w:rStyle w:val="c2530e401"/>
              </w:rPr>
              <w:t>übernehmende Partei</w:t>
            </w:r>
            <w:r>
              <w:rPr>
                <w:rStyle w:val="normal9"/>
              </w:rPr>
              <w:t xml:space="preserve"> darf das </w:t>
            </w:r>
            <w:r>
              <w:rPr>
                <w:rStyle w:val="c2530e401"/>
              </w:rPr>
              <w:t xml:space="preserve">Material </w:t>
            </w:r>
            <w:r>
              <w:rPr>
                <w:rStyle w:val="normal9"/>
              </w:rPr>
              <w:t xml:space="preserve">an einen </w:t>
            </w:r>
            <w:r>
              <w:rPr>
                <w:rStyle w:val="c2530e401"/>
              </w:rPr>
              <w:t>Dritten</w:t>
            </w:r>
            <w:r>
              <w:rPr>
                <w:rStyle w:val="normal9"/>
              </w:rPr>
              <w:t xml:space="preserve"> zur Nutzung im Rahmen des </w:t>
            </w:r>
            <w:r>
              <w:rPr>
                <w:rStyle w:val="c2530e401"/>
              </w:rPr>
              <w:t>Zwecks</w:t>
            </w:r>
            <w:r>
              <w:rPr>
                <w:rStyle w:val="normal9"/>
              </w:rPr>
              <w:t xml:space="preserve"> weitergeben, vorausgesetzt, dem jeweiligen </w:t>
            </w:r>
            <w:r>
              <w:rPr>
                <w:rStyle w:val="c2530e401"/>
              </w:rPr>
              <w:t>Dritten</w:t>
            </w:r>
            <w:r>
              <w:rPr>
                <w:rStyle w:val="normal9"/>
              </w:rPr>
              <w:t xml:space="preserve"> wird von der </w:t>
            </w:r>
            <w:r>
              <w:rPr>
                <w:rStyle w:val="c2530e401"/>
              </w:rPr>
              <w:t>übernehmenden Partei</w:t>
            </w:r>
            <w:r>
              <w:rPr>
                <w:rStyle w:val="normal9"/>
              </w:rPr>
              <w:t xml:space="preserve"> die Einhaltung der Bestimmungen dieser </w:t>
            </w:r>
            <w:r>
              <w:rPr>
                <w:rStyle w:val="c2530e401"/>
              </w:rPr>
              <w:t>Vereinbarung</w:t>
            </w:r>
            <w:r>
              <w:rPr>
                <w:rStyle w:val="normal9"/>
              </w:rPr>
              <w:t xml:space="preserve"> auferlegt. Die </w:t>
            </w:r>
            <w:r>
              <w:rPr>
                <w:rStyle w:val="c2530e401"/>
              </w:rPr>
              <w:t>übernehmende Partei</w:t>
            </w:r>
            <w:r>
              <w:rPr>
                <w:rStyle w:val="normal9"/>
              </w:rPr>
              <w:t xml:space="preserve"> hat das uneingeschränkte Recht, Substanzen weiterzugeben, die von der </w:t>
            </w:r>
            <w:r>
              <w:rPr>
                <w:rStyle w:val="c2530e401"/>
              </w:rPr>
              <w:t>übernehmenden Partei</w:t>
            </w:r>
            <w:r>
              <w:rPr>
                <w:rStyle w:val="normal9"/>
              </w:rPr>
              <w:t xml:space="preserve"> durch die Nutzung des </w:t>
            </w:r>
            <w:r>
              <w:rPr>
                <w:rStyle w:val="c2530e401"/>
              </w:rPr>
              <w:t>Materials</w:t>
            </w:r>
            <w:r>
              <w:rPr>
                <w:rStyle w:val="normal9"/>
              </w:rPr>
              <w:t xml:space="preserve"> geschaffen wurden. Außerhalb des </w:t>
            </w:r>
            <w:r>
              <w:rPr>
                <w:rStyle w:val="c2530e401"/>
              </w:rPr>
              <w:t>Zwecks</w:t>
            </w:r>
            <w:r>
              <w:rPr>
                <w:rStyle w:val="normal9"/>
              </w:rPr>
              <w:t xml:space="preserve"> dieser </w:t>
            </w:r>
            <w:r>
              <w:rPr>
                <w:rStyle w:val="c2530e401"/>
              </w:rPr>
              <w:t>Vereinbarung</w:t>
            </w:r>
            <w:r>
              <w:rPr>
                <w:rStyle w:val="normal9"/>
              </w:rPr>
              <w:t xml:space="preserve"> darf das </w:t>
            </w:r>
            <w:r>
              <w:rPr>
                <w:rStyle w:val="c2530e401"/>
              </w:rPr>
              <w:t>Material</w:t>
            </w:r>
            <w:r>
              <w:rPr>
                <w:rStyle w:val="normal9"/>
              </w:rPr>
              <w:t xml:space="preserve"> ohne das vorherige schriftliche Einverständnis der </w:t>
            </w:r>
            <w:r>
              <w:rPr>
                <w:rStyle w:val="c2530e401"/>
              </w:rPr>
              <w:t>übertragenden Partei</w:t>
            </w:r>
            <w:r>
              <w:rPr>
                <w:rStyle w:val="normal9"/>
              </w:rPr>
              <w:t xml:space="preserve"> nicht übertragen, zum Verkauf angeboten oder in sonstiger Weise verwendet werden.]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9"/>
              </w:rPr>
              <w:t xml:space="preserve">4.5. Ohne die schriftliche Zustimmung der </w:t>
            </w:r>
            <w:r>
              <w:rPr>
                <w:rStyle w:val="c2530e401"/>
              </w:rPr>
              <w:t>übertragenden Partei</w:t>
            </w:r>
            <w:r>
              <w:rPr>
                <w:rStyle w:val="normal9"/>
              </w:rPr>
              <w:t xml:space="preserve"> dürfen das </w:t>
            </w:r>
            <w:r>
              <w:rPr>
                <w:rStyle w:val="c2530e401"/>
              </w:rPr>
              <w:t>Material</w:t>
            </w:r>
            <w:r>
              <w:rPr>
                <w:rStyle w:val="normal9"/>
              </w:rPr>
              <w:t xml:space="preserve"> oder die </w:t>
            </w:r>
            <w:r>
              <w:rPr>
                <w:rStyle w:val="c2530e401"/>
              </w:rPr>
              <w:t>Modifikationen</w:t>
            </w:r>
            <w:r>
              <w:rPr>
                <w:rStyle w:val="normal9"/>
              </w:rPr>
              <w:t xml:space="preserve"> nicht an Menschen, für klinische Studien oder für Diagnosezwecke, die Menschen einbeziehen, verwendet werden.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9"/>
              </w:rPr>
              <w:t>[</w:t>
            </w:r>
            <w:r>
              <w:rPr>
                <w:rStyle w:val="c2530e461"/>
              </w:rPr>
              <w:t>Option</w:t>
            </w:r>
            <w:r>
              <w:rPr>
                <w:rStyle w:val="normal9"/>
              </w:rPr>
              <w:t xml:space="preserve">: 4.6. Die Bereitstellung von </w:t>
            </w:r>
            <w:r>
              <w:rPr>
                <w:rStyle w:val="c2530e401"/>
              </w:rPr>
              <w:t>Material</w:t>
            </w:r>
            <w:r>
              <w:rPr>
                <w:rStyle w:val="normal9"/>
              </w:rPr>
              <w:t xml:space="preserve"> durch die </w:t>
            </w:r>
            <w:r>
              <w:rPr>
                <w:rStyle w:val="c2530e401"/>
              </w:rPr>
              <w:t>übertragende Partei</w:t>
            </w:r>
            <w:r>
              <w:rPr>
                <w:rStyle w:val="normal9"/>
              </w:rPr>
              <w:t xml:space="preserve"> an die </w:t>
            </w:r>
            <w:r>
              <w:rPr>
                <w:rStyle w:val="c2530e401"/>
              </w:rPr>
              <w:t>übernehmende Partei</w:t>
            </w:r>
            <w:r>
              <w:rPr>
                <w:rStyle w:val="normal9"/>
              </w:rPr>
              <w:t xml:space="preserve"> erfolgt ohne Angaben zur Identität des Tierhalters. Die </w:t>
            </w:r>
            <w:r>
              <w:rPr>
                <w:rStyle w:val="c2530e401"/>
              </w:rPr>
              <w:t>übernehmende Partei</w:t>
            </w:r>
            <w:r>
              <w:rPr>
                <w:rStyle w:val="normal9"/>
              </w:rPr>
              <w:t xml:space="preserve"> stimmt zu, dass das </w:t>
            </w:r>
            <w:r>
              <w:rPr>
                <w:rStyle w:val="c2530e401"/>
              </w:rPr>
              <w:t>Material</w:t>
            </w:r>
            <w:r>
              <w:rPr>
                <w:rStyle w:val="normal9"/>
              </w:rPr>
              <w:t xml:space="preserve"> weder allein noch in Verbindung mit anderen Informationen in irgendeiner Weise dazu verwendet werden wird, die Identität einzelner Tierhalter, von denen das </w:t>
            </w:r>
            <w:r>
              <w:rPr>
                <w:rStyle w:val="c2530e401"/>
              </w:rPr>
              <w:t>Material</w:t>
            </w:r>
            <w:r>
              <w:rPr>
                <w:rStyle w:val="normal9"/>
              </w:rPr>
              <w:t xml:space="preserve"> herstammt, festzustellen.]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9"/>
              </w:rPr>
              <w:t xml:space="preserve">4.7. Tierhalter, von denen das </w:t>
            </w:r>
            <w:r>
              <w:rPr>
                <w:rStyle w:val="c2530e401"/>
              </w:rPr>
              <w:t>Material</w:t>
            </w:r>
            <w:r>
              <w:rPr>
                <w:rStyle w:val="normal9"/>
              </w:rPr>
              <w:t xml:space="preserve"> herstammt, das der </w:t>
            </w:r>
            <w:r>
              <w:rPr>
                <w:rStyle w:val="c2530e401"/>
              </w:rPr>
              <w:t>übertragenden Partei</w:t>
            </w:r>
            <w:r>
              <w:rPr>
                <w:rStyle w:val="normal9"/>
              </w:rPr>
              <w:t xml:space="preserve"> zur Verfügung gestellt wurde, und die auch personenbezogene Daten geliefert haben, können entscheiden, ihre Zustimmung zur Nutzung ihrer personenbezogenen Daten zu widerrufen. In einem solchen Fall wird die </w:t>
            </w:r>
            <w:r>
              <w:rPr>
                <w:rStyle w:val="c2530e401"/>
              </w:rPr>
              <w:t>übertragende Partei</w:t>
            </w:r>
            <w:r>
              <w:rPr>
                <w:rStyle w:val="normal9"/>
              </w:rPr>
              <w:t xml:space="preserve"> dann die </w:t>
            </w:r>
            <w:r>
              <w:rPr>
                <w:rStyle w:val="c2530e401"/>
              </w:rPr>
              <w:t>übernehmende Partei</w:t>
            </w:r>
            <w:r>
              <w:rPr>
                <w:rStyle w:val="normal9"/>
              </w:rPr>
              <w:t xml:space="preserve"> von diesem Widerruf der Zustimmung in Kenntnis setzen und verlangen, dass die </w:t>
            </w:r>
            <w:r>
              <w:rPr>
                <w:rStyle w:val="c2530e401"/>
              </w:rPr>
              <w:t>übernehmende Partei</w:t>
            </w:r>
            <w:r>
              <w:rPr>
                <w:rStyle w:val="normal9"/>
              </w:rPr>
              <w:t xml:space="preserve"> entweder weitere Forschung einstellt oder alle personenbezogenen Daten unverzüglich anonymisiert.</w:t>
            </w:r>
          </w:p>
        </w:tc>
        <w:tc>
          <w:tcPr>
            <w:tcW w:w="4644" w:type="dxa"/>
          </w:tcPr>
          <w:p>
            <w:pPr>
              <w:pStyle w:val="NormalWeb"/>
              <w:spacing w:before="240" w:after="240"/>
              <w:rPr>
                <w:rFonts w:ascii="Arial" w:hAnsi="Arial" w:cs="Arial"/>
              </w:rPr>
            </w:pPr>
            <w:r>
              <w:rPr>
                <w:rStyle w:val="normal10"/>
              </w:rPr>
              <w:t>Abhängig vom jeweiligen Projekt gibt es auch Fälle, für welche eine Anonymisierung keine Option ist.</w:t>
            </w:r>
          </w:p>
        </w:tc>
      </w:tr>
      <w:tr>
        <w:tc>
          <w:tcPr>
            <w:tcW w:w="4644" w:type="dxa"/>
          </w:tcPr>
          <w:p>
            <w:pPr>
              <w:pStyle w:val="NormalWeb"/>
              <w:spacing w:before="240"/>
              <w:jc w:val="center"/>
            </w:pPr>
            <w:r>
              <w:rPr>
                <w:rStyle w:val="cb2893481"/>
              </w:rPr>
              <w:lastRenderedPageBreak/>
              <w:t>5.</w:t>
            </w:r>
          </w:p>
          <w:p>
            <w:pPr>
              <w:pStyle w:val="NormalWeb"/>
              <w:spacing w:after="240"/>
              <w:jc w:val="center"/>
              <w:rPr>
                <w:rFonts w:ascii="Arial" w:hAnsi="Arial" w:cs="Arial"/>
              </w:rPr>
            </w:pPr>
            <w:r>
              <w:rPr>
                <w:rStyle w:val="cb2893481"/>
              </w:rPr>
              <w:t>EIGENTUMSRECHTE UND RECHTE AM MATERIAL</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1"/>
              </w:rPr>
              <w:t xml:space="preserve">5.1. Die </w:t>
            </w:r>
            <w:r>
              <w:rPr>
                <w:rStyle w:val="cb2893471"/>
              </w:rPr>
              <w:t>übernehmende Partei</w:t>
            </w:r>
            <w:r>
              <w:rPr>
                <w:rStyle w:val="normal11"/>
              </w:rPr>
              <w:t xml:space="preserve"> ist Eigentümerin des </w:t>
            </w:r>
            <w:r>
              <w:rPr>
                <w:rStyle w:val="cb2893471"/>
              </w:rPr>
              <w:t>Materials</w:t>
            </w:r>
            <w:r>
              <w:rPr>
                <w:rStyle w:val="normal11"/>
              </w:rPr>
              <w:t xml:space="preserve">, einschließlich des in den </w:t>
            </w:r>
            <w:r>
              <w:rPr>
                <w:rStyle w:val="cb2893471"/>
              </w:rPr>
              <w:t>Modifikationen</w:t>
            </w:r>
            <w:r>
              <w:rPr>
                <w:rStyle w:val="normal11"/>
              </w:rPr>
              <w:t xml:space="preserve"> enthaltenen oder darin eingearbeiteten </w:t>
            </w:r>
            <w:r>
              <w:rPr>
                <w:rStyle w:val="cb2893471"/>
              </w:rPr>
              <w:t>Materials</w:t>
            </w:r>
            <w:r>
              <w:rPr>
                <w:rStyle w:val="normal11"/>
              </w:rPr>
              <w:t xml:space="preserve">, sowie auch aller daran bestehenden </w:t>
            </w:r>
            <w:r>
              <w:rPr>
                <w:rStyle w:val="cb2893471"/>
              </w:rPr>
              <w:t>Immaterialgüterrechte</w:t>
            </w:r>
            <w:r>
              <w:rPr>
                <w:rStyle w:val="normal11"/>
              </w:rPr>
              <w:t>.</w:t>
            </w:r>
          </w:p>
        </w:tc>
        <w:tc>
          <w:tcPr>
            <w:tcW w:w="4644" w:type="dxa"/>
          </w:tcPr>
          <w:p>
            <w:pPr>
              <w:pStyle w:val="NormalWeb"/>
              <w:spacing w:before="240" w:after="240"/>
              <w:rPr>
                <w:rFonts w:ascii="Arial" w:hAnsi="Arial" w:cs="Arial"/>
              </w:rPr>
            </w:pPr>
            <w:r>
              <w:rPr>
                <w:rStyle w:val="normal12"/>
              </w:rPr>
              <w:t>Eigentum am Material ist von Eigentum an den Modifikationen / Ergebnissen zu trennen; die Modifikationen / Ergebnisse können auch dem Empfänger (alternativ gemeinsam mit dem Bereitsteller) zustehen. Erwirbt der Empfänger Eigentum an den Proben, dann ist erforderlich, dass auch der Provider bereits Eigentümer war. Daher ist es auch wichtig, Vereinbarungen über den Eigentumsübergang aufzubewahren.</w:t>
            </w:r>
          </w:p>
        </w:tc>
      </w:tr>
      <w:tr>
        <w:tc>
          <w:tcPr>
            <w:tcW w:w="4644" w:type="dxa"/>
          </w:tcPr>
          <w:p>
            <w:pPr>
              <w:pStyle w:val="NormalWeb"/>
              <w:spacing w:before="240" w:after="240"/>
              <w:rPr>
                <w:rFonts w:ascii="Arial" w:hAnsi="Arial" w:cs="Arial"/>
              </w:rPr>
            </w:pPr>
            <w:r>
              <w:rPr>
                <w:rStyle w:val="cb2893501"/>
              </w:rPr>
              <w:t>Alternative</w:t>
            </w:r>
            <w:r>
              <w:rPr>
                <w:rStyle w:val="normal11"/>
              </w:rPr>
              <w:t xml:space="preserve">: 5.1. Das Eigentum am </w:t>
            </w:r>
            <w:r>
              <w:rPr>
                <w:rStyle w:val="cb2893471"/>
              </w:rPr>
              <w:t>Material</w:t>
            </w:r>
            <w:r>
              <w:rPr>
                <w:rStyle w:val="normal11"/>
              </w:rPr>
              <w:t xml:space="preserve">, einschließlich des gesamten in den </w:t>
            </w:r>
            <w:r>
              <w:rPr>
                <w:rStyle w:val="cb2893471"/>
              </w:rPr>
              <w:t>Modifikationen</w:t>
            </w:r>
            <w:r>
              <w:rPr>
                <w:rStyle w:val="normal11"/>
              </w:rPr>
              <w:t xml:space="preserve"> enthaltenen oder darin eingearbeiteten </w:t>
            </w:r>
            <w:r>
              <w:rPr>
                <w:rStyle w:val="cb2893471"/>
              </w:rPr>
              <w:t>Materials</w:t>
            </w:r>
            <w:r>
              <w:rPr>
                <w:rStyle w:val="normal11"/>
              </w:rPr>
              <w:t xml:space="preserve">, verbleibt bei der </w:t>
            </w:r>
            <w:r>
              <w:rPr>
                <w:rStyle w:val="cb2893471"/>
              </w:rPr>
              <w:t>übertragenden Partei</w:t>
            </w:r>
            <w:r>
              <w:rPr>
                <w:rStyle w:val="normal11"/>
              </w:rPr>
              <w:t xml:space="preserve">. Der </w:t>
            </w:r>
            <w:r>
              <w:rPr>
                <w:rStyle w:val="cb2893471"/>
              </w:rPr>
              <w:t>übertragenden Partei</w:t>
            </w:r>
            <w:r>
              <w:rPr>
                <w:rStyle w:val="normal11"/>
              </w:rPr>
              <w:t xml:space="preserve"> stehen alle </w:t>
            </w:r>
            <w:r>
              <w:rPr>
                <w:rStyle w:val="cb2893471"/>
              </w:rPr>
              <w:t>Immaterialgüterrechte</w:t>
            </w:r>
            <w:r>
              <w:rPr>
                <w:rStyle w:val="normal11"/>
              </w:rPr>
              <w:t xml:space="preserve"> an dem genannten </w:t>
            </w:r>
            <w:r>
              <w:rPr>
                <w:rStyle w:val="cb2893471"/>
              </w:rPr>
              <w:t>Material</w:t>
            </w:r>
            <w:r>
              <w:rPr>
                <w:rStyle w:val="normal11"/>
              </w:rPr>
              <w:t xml:space="preserve"> zu. Die </w:t>
            </w:r>
            <w:r>
              <w:rPr>
                <w:rStyle w:val="cb2893471"/>
              </w:rPr>
              <w:t>übertragende Partei</w:t>
            </w:r>
            <w:r>
              <w:rPr>
                <w:rStyle w:val="normal11"/>
              </w:rPr>
              <w:t xml:space="preserve"> gewährt hiermit der </w:t>
            </w:r>
            <w:r>
              <w:rPr>
                <w:rStyle w:val="cb2893471"/>
              </w:rPr>
              <w:t>übernehmenden Partei</w:t>
            </w:r>
            <w:r>
              <w:rPr>
                <w:rStyle w:val="normal11"/>
              </w:rPr>
              <w:t xml:space="preserve"> das Recht, das </w:t>
            </w:r>
            <w:r>
              <w:rPr>
                <w:rStyle w:val="cb2893471"/>
              </w:rPr>
              <w:t>Material</w:t>
            </w:r>
            <w:r>
              <w:rPr>
                <w:rStyle w:val="normal11"/>
              </w:rPr>
              <w:t xml:space="preserve"> für den </w:t>
            </w:r>
            <w:r>
              <w:rPr>
                <w:rStyle w:val="cb2893471"/>
              </w:rPr>
              <w:t>Zweck</w:t>
            </w:r>
            <w:r>
              <w:rPr>
                <w:rStyle w:val="normal11"/>
              </w:rPr>
              <w:t xml:space="preserve"> zu nutzen. Soweit nicht ausdrücklich in dieser </w:t>
            </w:r>
            <w:r>
              <w:rPr>
                <w:rStyle w:val="cb2893471"/>
              </w:rPr>
              <w:t>Vereinbarung</w:t>
            </w:r>
            <w:r>
              <w:rPr>
                <w:rStyle w:val="normal11"/>
              </w:rPr>
              <w:t xml:space="preserve"> vorgesehen, werden der </w:t>
            </w:r>
            <w:r>
              <w:rPr>
                <w:rStyle w:val="cb2893471"/>
              </w:rPr>
              <w:t>übernehmenden Partei</w:t>
            </w:r>
            <w:r>
              <w:rPr>
                <w:rStyle w:val="normal11"/>
              </w:rPr>
              <w:t xml:space="preserve"> keine ausdrücklichen oder konkludenten Lizenzen oder sonstigen Rechte gewährt.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1"/>
              </w:rPr>
              <w:t xml:space="preserve">5.2. Die </w:t>
            </w:r>
            <w:r>
              <w:rPr>
                <w:rStyle w:val="cb2893471"/>
              </w:rPr>
              <w:t>übernehmende Partei</w:t>
            </w:r>
            <w:r>
              <w:rPr>
                <w:rStyle w:val="normal11"/>
              </w:rPr>
              <w:t xml:space="preserve"> hat hinsichtlich einer unzulässigen Nutzung keine Nutzungsrechte am </w:t>
            </w:r>
            <w:r>
              <w:rPr>
                <w:rStyle w:val="cb2893471"/>
              </w:rPr>
              <w:t>Material</w:t>
            </w:r>
            <w:r>
              <w:rPr>
                <w:rStyle w:val="normal11"/>
              </w:rPr>
              <w:t>.</w:t>
            </w:r>
          </w:p>
        </w:tc>
        <w:tc>
          <w:tcPr>
            <w:tcW w:w="4644" w:type="dxa"/>
          </w:tcPr>
          <w:p>
            <w:pPr>
              <w:pStyle w:val="NormalWeb"/>
              <w:spacing w:before="240" w:after="240"/>
              <w:rPr>
                <w:rFonts w:ascii="Arial" w:hAnsi="Arial" w:cs="Arial"/>
              </w:rPr>
            </w:pPr>
            <w:r>
              <w:rPr>
                <w:rStyle w:val="normal12"/>
              </w:rPr>
              <w:t xml:space="preserve">Siehe auch Punkt 3.2. Sollte dort vereinbart sein, dass über </w:t>
            </w:r>
            <w:proofErr w:type="spellStart"/>
            <w:r>
              <w:rPr>
                <w:rStyle w:val="normal12"/>
              </w:rPr>
              <w:t>Prohibited</w:t>
            </w:r>
            <w:proofErr w:type="spellEnd"/>
            <w:r>
              <w:rPr>
                <w:rStyle w:val="normal12"/>
              </w:rPr>
              <w:t xml:space="preserve"> </w:t>
            </w:r>
            <w:proofErr w:type="spellStart"/>
            <w:r>
              <w:rPr>
                <w:rStyle w:val="normal12"/>
              </w:rPr>
              <w:t>Use</w:t>
            </w:r>
            <w:proofErr w:type="spellEnd"/>
            <w:r>
              <w:rPr>
                <w:rStyle w:val="normal12"/>
              </w:rPr>
              <w:t xml:space="preserve"> ein gesonderter Vertrag abgeschlossen werden kann, ist Punkt 5.2. hinfällig und zu streichen.</w:t>
            </w:r>
          </w:p>
        </w:tc>
      </w:tr>
      <w:tr>
        <w:tc>
          <w:tcPr>
            <w:tcW w:w="4644" w:type="dxa"/>
          </w:tcPr>
          <w:p>
            <w:pPr>
              <w:pStyle w:val="NormalWeb"/>
              <w:spacing w:before="240" w:after="240"/>
              <w:rPr>
                <w:rFonts w:ascii="Arial" w:hAnsi="Arial" w:cs="Arial"/>
              </w:rPr>
            </w:pPr>
            <w:r>
              <w:rPr>
                <w:rStyle w:val="normal11"/>
              </w:rPr>
              <w:t>5.3. [</w:t>
            </w:r>
            <w:r>
              <w:rPr>
                <w:rStyle w:val="cb2893511"/>
              </w:rPr>
              <w:t xml:space="preserve">Die </w:t>
            </w:r>
            <w:r>
              <w:rPr>
                <w:rStyle w:val="cb2893521"/>
              </w:rPr>
              <w:t>übernehmende Partei</w:t>
            </w:r>
            <w:r>
              <w:rPr>
                <w:rStyle w:val="cb2893511"/>
              </w:rPr>
              <w:t xml:space="preserve"> nimmt zur Kenntnis, dass für das </w:t>
            </w:r>
            <w:r>
              <w:rPr>
                <w:rStyle w:val="cb2893521"/>
              </w:rPr>
              <w:t>Material</w:t>
            </w:r>
            <w:r>
              <w:rPr>
                <w:rStyle w:val="cb2893511"/>
              </w:rPr>
              <w:t xml:space="preserve"> Patentschutz beantragt [und gewährt] wurde.</w:t>
            </w:r>
            <w:r>
              <w:rPr>
                <w:rStyle w:val="normal11"/>
              </w:rPr>
              <w:t>]</w:t>
            </w:r>
          </w:p>
        </w:tc>
        <w:tc>
          <w:tcPr>
            <w:tcW w:w="4644" w:type="dxa"/>
          </w:tcPr>
          <w:p>
            <w:pPr>
              <w:pStyle w:val="NormalWeb"/>
              <w:spacing w:before="240" w:after="240"/>
              <w:rPr>
                <w:rFonts w:ascii="Arial" w:hAnsi="Arial" w:cs="Arial"/>
              </w:rPr>
            </w:pPr>
            <w:r>
              <w:rPr>
                <w:rStyle w:val="normal12"/>
              </w:rPr>
              <w:t>Ein Patentschutz am Original Material wird nur in Ausnahmefällen zutreffen.</w:t>
            </w:r>
          </w:p>
        </w:tc>
      </w:tr>
      <w:tr>
        <w:tc>
          <w:tcPr>
            <w:tcW w:w="4644" w:type="dxa"/>
          </w:tcPr>
          <w:p>
            <w:pPr>
              <w:pStyle w:val="NormalWeb"/>
              <w:spacing w:before="240" w:after="240"/>
            </w:pPr>
            <w:r>
              <w:rPr>
                <w:rStyle w:val="cb2893501"/>
              </w:rPr>
              <w:t>Alternative</w:t>
            </w:r>
            <w:r>
              <w:rPr>
                <w:rStyle w:val="normal11"/>
              </w:rPr>
              <w:t xml:space="preserve">: [5.3. Die </w:t>
            </w:r>
            <w:r>
              <w:rPr>
                <w:rStyle w:val="cb2893471"/>
              </w:rPr>
              <w:t>übernehmende Partei</w:t>
            </w:r>
            <w:r>
              <w:rPr>
                <w:rStyle w:val="normal11"/>
              </w:rPr>
              <w:t xml:space="preserve"> nimmt zur Kenntnis, dass für das </w:t>
            </w:r>
            <w:r>
              <w:rPr>
                <w:rStyle w:val="cb2893471"/>
              </w:rPr>
              <w:t>Mustermaterial</w:t>
            </w:r>
            <w:r>
              <w:rPr>
                <w:rStyle w:val="normal11"/>
              </w:rPr>
              <w:t xml:space="preserve"> Patentschutz beantragt [</w:t>
            </w:r>
            <w:r>
              <w:rPr>
                <w:rStyle w:val="cb2893511"/>
              </w:rPr>
              <w:t>und gewährt</w:t>
            </w:r>
            <w:r>
              <w:rPr>
                <w:rStyle w:val="normal11"/>
              </w:rPr>
              <w:t>] wurde.]</w:t>
            </w:r>
          </w:p>
        </w:tc>
        <w:tc>
          <w:tcPr>
            <w:tcW w:w="4644" w:type="dxa"/>
          </w:tcPr>
          <w:p>
            <w:pPr>
              <w:pStyle w:val="NormalWeb"/>
              <w:spacing w:before="240" w:after="240"/>
              <w:rPr>
                <w:rFonts w:ascii="Arial" w:hAnsi="Arial" w:cs="Arial"/>
              </w:rPr>
            </w:pPr>
            <w:r>
              <w:rPr>
                <w:rStyle w:val="normal12"/>
              </w:rPr>
              <w:t>Ein Patentschutz am Original Material wird nur in Ausnahmefällen zutreffen.</w:t>
            </w:r>
          </w:p>
        </w:tc>
      </w:tr>
      <w:tr>
        <w:tc>
          <w:tcPr>
            <w:tcW w:w="4644" w:type="dxa"/>
          </w:tcPr>
          <w:p>
            <w:pPr>
              <w:pStyle w:val="NormalWeb"/>
              <w:spacing w:before="240"/>
              <w:jc w:val="center"/>
            </w:pPr>
            <w:r>
              <w:rPr>
                <w:rStyle w:val="c7a789591"/>
              </w:rPr>
              <w:t>6.</w:t>
            </w:r>
          </w:p>
          <w:p>
            <w:pPr>
              <w:pStyle w:val="NormalWeb"/>
              <w:jc w:val="center"/>
              <w:rPr>
                <w:rFonts w:ascii="Arial" w:hAnsi="Arial" w:cs="Arial"/>
              </w:rPr>
            </w:pPr>
            <w:r>
              <w:rPr>
                <w:rStyle w:val="c7a789591"/>
              </w:rPr>
              <w:t>ERGEBNISSE</w:t>
            </w:r>
          </w:p>
        </w:tc>
        <w:tc>
          <w:tcPr>
            <w:tcW w:w="4644" w:type="dxa"/>
          </w:tcPr>
          <w:p>
            <w:pPr>
              <w:pStyle w:val="NormalWeb"/>
              <w:spacing w:before="240" w:after="240"/>
              <w:rPr>
                <w:rFonts w:ascii="Arial" w:hAnsi="Arial" w:cs="Arial"/>
              </w:rPr>
            </w:pPr>
            <w:r>
              <w:rPr>
                <w:rStyle w:val="normal14"/>
              </w:rPr>
              <w:t xml:space="preserve">Die Klärung des Eigentums von vor allem schutzfähigen Rechten und </w:t>
            </w:r>
            <w:proofErr w:type="spellStart"/>
            <w:r>
              <w:rPr>
                <w:rStyle w:val="normal14"/>
              </w:rPr>
              <w:t>Know-How</w:t>
            </w:r>
            <w:proofErr w:type="spellEnd"/>
            <w:r>
              <w:rPr>
                <w:rStyle w:val="normal14"/>
              </w:rPr>
              <w:t xml:space="preserve">, die </w:t>
            </w:r>
            <w:r>
              <w:rPr>
                <w:rStyle w:val="normal14"/>
              </w:rPr>
              <w:lastRenderedPageBreak/>
              <w:t>entstehen können, ist - unabhängig von der Frage des Eigentums an Material - eine wesentliche Frage. Für eine wissenschaftliche Institution sind zumeist auch Publikationsrechte bzw. wissenschaftliche Weiterbearbeitung von Bedeutung. Siehe dazu Punkt 7.</w:t>
            </w:r>
          </w:p>
        </w:tc>
      </w:tr>
      <w:tr>
        <w:tc>
          <w:tcPr>
            <w:tcW w:w="4644" w:type="dxa"/>
          </w:tcPr>
          <w:p>
            <w:pPr>
              <w:pStyle w:val="NormalWeb"/>
              <w:spacing w:before="240" w:after="240"/>
              <w:rPr>
                <w:rFonts w:ascii="Arial" w:hAnsi="Arial" w:cs="Arial"/>
              </w:rPr>
            </w:pPr>
            <w:r>
              <w:rPr>
                <w:rStyle w:val="normal13"/>
              </w:rPr>
              <w:lastRenderedPageBreak/>
              <w:t xml:space="preserve">6.1. Die </w:t>
            </w:r>
            <w:r>
              <w:rPr>
                <w:rStyle w:val="c7a789581"/>
              </w:rPr>
              <w:t>übernehmende Partei</w:t>
            </w:r>
            <w:r>
              <w:rPr>
                <w:rStyle w:val="normal13"/>
              </w:rPr>
              <w:t xml:space="preserve"> ist – auch für im Rahmen des </w:t>
            </w:r>
            <w:r>
              <w:rPr>
                <w:rStyle w:val="c7a789581"/>
              </w:rPr>
              <w:t>Zwecks</w:t>
            </w:r>
            <w:r>
              <w:rPr>
                <w:rStyle w:val="normal13"/>
              </w:rPr>
              <w:t xml:space="preserve"> entwickelte </w:t>
            </w:r>
            <w:r>
              <w:rPr>
                <w:rStyle w:val="c7a789581"/>
              </w:rPr>
              <w:t>Modifikationen</w:t>
            </w:r>
            <w:r>
              <w:rPr>
                <w:rStyle w:val="normal13"/>
              </w:rPr>
              <w:t xml:space="preserve"> - Eigentümerin sämtlicher </w:t>
            </w:r>
            <w:r>
              <w:rPr>
                <w:rStyle w:val="c7a789581"/>
              </w:rPr>
              <w:t>Ergebnisse</w:t>
            </w:r>
            <w:r>
              <w:rPr>
                <w:rStyle w:val="normal13"/>
              </w:rPr>
              <w:t xml:space="preserve"> und nur die </w:t>
            </w:r>
            <w:r>
              <w:rPr>
                <w:rStyle w:val="c7a789581"/>
              </w:rPr>
              <w:t>übernehmende Partei</w:t>
            </w:r>
            <w:r>
              <w:rPr>
                <w:rStyle w:val="normal13"/>
              </w:rPr>
              <w:t xml:space="preserve"> ist berechtigt,[</w:t>
            </w:r>
            <w:r>
              <w:rPr>
                <w:rStyle w:val="c7a789601"/>
              </w:rPr>
              <w:t xml:space="preserve">Wenn nur </w:t>
            </w:r>
            <w:proofErr w:type="spellStart"/>
            <w:r>
              <w:rPr>
                <w:rStyle w:val="c7a789601"/>
              </w:rPr>
              <w:t>MitarbeiterInnen</w:t>
            </w:r>
            <w:proofErr w:type="spellEnd"/>
            <w:r>
              <w:rPr>
                <w:rStyle w:val="c7a789601"/>
              </w:rPr>
              <w:t xml:space="preserve"> der </w:t>
            </w:r>
            <w:r>
              <w:rPr>
                <w:rStyle w:val="c7a789611"/>
              </w:rPr>
              <w:t>übernehmenden Partei</w:t>
            </w:r>
            <w:r>
              <w:rPr>
                <w:rStyle w:val="c7a789601"/>
              </w:rPr>
              <w:t xml:space="preserve"> zu den </w:t>
            </w:r>
            <w:r>
              <w:rPr>
                <w:rStyle w:val="c7a789611"/>
              </w:rPr>
              <w:t>Ergebnissen</w:t>
            </w:r>
            <w:r>
              <w:rPr>
                <w:rStyle w:val="c7a789601"/>
              </w:rPr>
              <w:t xml:space="preserve"> beigetragen haben, ist nur die </w:t>
            </w:r>
            <w:r>
              <w:rPr>
                <w:rStyle w:val="c7a789611"/>
              </w:rPr>
              <w:t>übernehmende Partei</w:t>
            </w:r>
            <w:r>
              <w:rPr>
                <w:rStyle w:val="c7a789601"/>
              </w:rPr>
              <w:t xml:space="preserve"> berechtigt,</w:t>
            </w:r>
            <w:r>
              <w:rPr>
                <w:rStyle w:val="normal13"/>
              </w:rPr>
              <w:t xml:space="preserve">] in ihrem Namen </w:t>
            </w:r>
            <w:r>
              <w:rPr>
                <w:rStyle w:val="c7a789581"/>
              </w:rPr>
              <w:t>Immaterialgüterrechte</w:t>
            </w:r>
            <w:r>
              <w:rPr>
                <w:rStyle w:val="normal13"/>
              </w:rPr>
              <w:t xml:space="preserve"> für diese </w:t>
            </w:r>
            <w:r>
              <w:rPr>
                <w:rStyle w:val="c7a789581"/>
              </w:rPr>
              <w:t>Ergebnisse</w:t>
            </w:r>
            <w:r>
              <w:rPr>
                <w:rStyle w:val="normal13"/>
              </w:rPr>
              <w:t xml:space="preserve"> eintragen zu lassen [</w:t>
            </w:r>
            <w:r>
              <w:rPr>
                <w:rStyle w:val="c7a789601"/>
              </w:rPr>
              <w:t xml:space="preserve">und zwar vorbehaltlich Punkt 5. (Zur Klarstellung: Dies berührt weder das ausschließliche Eigentum der </w:t>
            </w:r>
            <w:r>
              <w:rPr>
                <w:rStyle w:val="c7a789611"/>
              </w:rPr>
              <w:t>übertragenden Partei</w:t>
            </w:r>
            <w:r>
              <w:rPr>
                <w:rStyle w:val="c7a789601"/>
              </w:rPr>
              <w:t xml:space="preserve"> am </w:t>
            </w:r>
            <w:r>
              <w:rPr>
                <w:rStyle w:val="c7a789611"/>
              </w:rPr>
              <w:t>Material</w:t>
            </w:r>
            <w:r>
              <w:rPr>
                <w:rStyle w:val="c7a789601"/>
              </w:rPr>
              <w:t xml:space="preserve"> noch die damit verbundenen </w:t>
            </w:r>
            <w:r>
              <w:rPr>
                <w:rStyle w:val="c7a789611"/>
              </w:rPr>
              <w:t>Immaterialgüterrechte</w:t>
            </w:r>
            <w:r>
              <w:rPr>
                <w:rStyle w:val="c7a789601"/>
              </w:rPr>
              <w:t>, auf die sie gemäß Punkt 5 Anspruch hat)</w:t>
            </w:r>
            <w:r>
              <w:rPr>
                <w:rStyle w:val="normal13"/>
              </w:rPr>
              <w:t xml:space="preserve">]. Wenn </w:t>
            </w:r>
            <w:proofErr w:type="spellStart"/>
            <w:r>
              <w:rPr>
                <w:rStyle w:val="normal13"/>
              </w:rPr>
              <w:t>MitarbeiterInnen</w:t>
            </w:r>
            <w:proofErr w:type="spellEnd"/>
            <w:r>
              <w:rPr>
                <w:rStyle w:val="normal13"/>
              </w:rPr>
              <w:t xml:space="preserve"> der </w:t>
            </w:r>
            <w:r>
              <w:rPr>
                <w:rStyle w:val="c7a789581"/>
              </w:rPr>
              <w:t>übertragenden Partei</w:t>
            </w:r>
            <w:r>
              <w:rPr>
                <w:rStyle w:val="normal13"/>
              </w:rPr>
              <w:t xml:space="preserve"> über Rechte an diesen </w:t>
            </w:r>
            <w:r>
              <w:rPr>
                <w:rStyle w:val="c7a789581"/>
              </w:rPr>
              <w:t>Ergebnissen</w:t>
            </w:r>
            <w:r>
              <w:rPr>
                <w:rStyle w:val="normal13"/>
              </w:rPr>
              <w:t xml:space="preserve"> verfügen, wird die </w:t>
            </w:r>
            <w:r>
              <w:rPr>
                <w:rStyle w:val="c7a789581"/>
              </w:rPr>
              <w:t>übertragende Partei</w:t>
            </w:r>
            <w:r>
              <w:rPr>
                <w:rStyle w:val="normal13"/>
              </w:rPr>
              <w:t xml:space="preserve"> alle rechtlich möglichen Maßnahmen ergreifen, die notwendig sind, damit die </w:t>
            </w:r>
            <w:r>
              <w:rPr>
                <w:rStyle w:val="c7a789581"/>
              </w:rPr>
              <w:t>Immaterialgüterrechte</w:t>
            </w:r>
            <w:r>
              <w:rPr>
                <w:rStyle w:val="normal13"/>
              </w:rPr>
              <w:t xml:space="preserve"> für diese </w:t>
            </w:r>
            <w:r>
              <w:rPr>
                <w:rStyle w:val="c7a789581"/>
              </w:rPr>
              <w:t>Ergebnisse</w:t>
            </w:r>
            <w:r>
              <w:rPr>
                <w:rStyle w:val="normal13"/>
              </w:rPr>
              <w:t xml:space="preserve"> von der </w:t>
            </w:r>
            <w:r>
              <w:rPr>
                <w:rStyle w:val="c7a789581"/>
              </w:rPr>
              <w:t>übertragenden Partei</w:t>
            </w:r>
            <w:r>
              <w:rPr>
                <w:rStyle w:val="normal13"/>
              </w:rPr>
              <w:t xml:space="preserve"> erworben und an die </w:t>
            </w:r>
            <w:r>
              <w:rPr>
                <w:rStyle w:val="c7a789581"/>
              </w:rPr>
              <w:t>übernehmende Partei</w:t>
            </w:r>
            <w:r>
              <w:rPr>
                <w:rStyle w:val="normal13"/>
              </w:rPr>
              <w:t xml:space="preserve"> übertragen werden können; jegliche den </w:t>
            </w:r>
            <w:proofErr w:type="spellStart"/>
            <w:r>
              <w:rPr>
                <w:rStyle w:val="normal13"/>
              </w:rPr>
              <w:t>MitarbeiterInnen</w:t>
            </w:r>
            <w:proofErr w:type="spellEnd"/>
            <w:r>
              <w:rPr>
                <w:rStyle w:val="normal13"/>
              </w:rPr>
              <w:t xml:space="preserve"> von Gesetzes wegen in diesem Zusammenhang zustehende Vergütung (“Erfindervergütung”) ist von der </w:t>
            </w:r>
            <w:r>
              <w:rPr>
                <w:rStyle w:val="c7a789581"/>
              </w:rPr>
              <w:t>übernehmenden Partei</w:t>
            </w:r>
            <w:r>
              <w:rPr>
                <w:rStyle w:val="normal13"/>
              </w:rPr>
              <w:t xml:space="preserve"> zu erstatten. Die </w:t>
            </w:r>
            <w:r>
              <w:rPr>
                <w:rStyle w:val="c7a789581"/>
              </w:rPr>
              <w:t>übertragende Partei</w:t>
            </w:r>
            <w:r>
              <w:rPr>
                <w:rStyle w:val="normal13"/>
              </w:rPr>
              <w:t xml:space="preserve"> hat das Recht, diese </w:t>
            </w:r>
            <w:r>
              <w:rPr>
                <w:rStyle w:val="c7a789581"/>
              </w:rPr>
              <w:t>Ergebnisse</w:t>
            </w:r>
            <w:r>
              <w:rPr>
                <w:rStyle w:val="normal13"/>
              </w:rPr>
              <w:t xml:space="preserve"> auf unbeschränkte Dauer unentgeltlich für Forschungszwecke [</w:t>
            </w:r>
            <w:r>
              <w:rPr>
                <w:rStyle w:val="c7a789601"/>
              </w:rPr>
              <w:t>ausgenommen:</w:t>
            </w:r>
            <w:r>
              <w:rPr>
                <w:rStyle w:val="normal13"/>
              </w:rPr>
              <w:t xml:space="preserve"> (</w:t>
            </w:r>
            <w:r>
              <w:rPr>
                <w:rStyle w:val="c7a789631"/>
              </w:rPr>
              <w:t>Ausnahmen hinzufügen, z.B. Auftragsforschung</w:t>
            </w:r>
            <w:r>
              <w:rPr>
                <w:rStyle w:val="normal13"/>
              </w:rPr>
              <w:t xml:space="preserve">)] zu nutzen. Sollte sich die </w:t>
            </w:r>
            <w:r>
              <w:rPr>
                <w:rStyle w:val="c7a789581"/>
              </w:rPr>
              <w:t>übernehmende Partei</w:t>
            </w:r>
            <w:r>
              <w:rPr>
                <w:rStyle w:val="normal13"/>
              </w:rPr>
              <w:t xml:space="preserve"> dafür entscheiden, die weitere Verwendung der </w:t>
            </w:r>
            <w:r>
              <w:rPr>
                <w:rStyle w:val="c7a789581"/>
              </w:rPr>
              <w:t>Ergebnisse</w:t>
            </w:r>
            <w:r>
              <w:rPr>
                <w:rStyle w:val="normal13"/>
              </w:rPr>
              <w:t xml:space="preserve"> zu unterlassen, hat sie diese Entscheidung unverzüglich der </w:t>
            </w:r>
            <w:r>
              <w:rPr>
                <w:rStyle w:val="c7a789581"/>
              </w:rPr>
              <w:t>übertragenden Partei</w:t>
            </w:r>
            <w:r>
              <w:rPr>
                <w:rStyle w:val="normal13"/>
              </w:rPr>
              <w:t xml:space="preserve"> mitzuteilen und auf Verlangen der </w:t>
            </w:r>
            <w:r>
              <w:rPr>
                <w:rStyle w:val="c7a789581"/>
              </w:rPr>
              <w:t>übertragenden Partei</w:t>
            </w:r>
            <w:r>
              <w:rPr>
                <w:rStyle w:val="normal13"/>
              </w:rPr>
              <w:t xml:space="preserve"> alle Rechte, Ansprüche und Forderungen bezüglich der genannten </w:t>
            </w:r>
            <w:r>
              <w:rPr>
                <w:rStyle w:val="c7a789581"/>
              </w:rPr>
              <w:t>Ergebnisse</w:t>
            </w:r>
            <w:r>
              <w:rPr>
                <w:rStyle w:val="normal13"/>
              </w:rPr>
              <w:t>, einschließlich der Nutzung von erforderlichem vorbestehenden geistigen Eigentum, [</w:t>
            </w:r>
            <w:r>
              <w:rPr>
                <w:rStyle w:val="c7a789601"/>
              </w:rPr>
              <w:t>unentgeltlich</w:t>
            </w:r>
            <w:r>
              <w:rPr>
                <w:rStyle w:val="normal13"/>
              </w:rPr>
              <w:t>] [</w:t>
            </w:r>
            <w:r>
              <w:rPr>
                <w:rStyle w:val="c7a789601"/>
              </w:rPr>
              <w:t>gegen eine Vergütung von EUR</w:t>
            </w:r>
            <w:r>
              <w:rPr>
                <w:rStyle w:val="normal13"/>
              </w:rPr>
              <w:t xml:space="preserve"> </w:t>
            </w:r>
            <w:r>
              <w:rPr>
                <w:rStyle w:val="c7a789641"/>
              </w:rPr>
              <w:t>____</w:t>
            </w:r>
            <w:r>
              <w:rPr>
                <w:rStyle w:val="normal13"/>
              </w:rPr>
              <w:t>] [</w:t>
            </w:r>
            <w:r>
              <w:rPr>
                <w:rStyle w:val="c7a789601"/>
              </w:rPr>
              <w:t xml:space="preserve">gegen eine in einer gesonderten Vereinbarung näher </w:t>
            </w:r>
            <w:r>
              <w:rPr>
                <w:rStyle w:val="c7a789601"/>
              </w:rPr>
              <w:lastRenderedPageBreak/>
              <w:t>bestimmte Vergütung</w:t>
            </w:r>
            <w:r>
              <w:rPr>
                <w:rStyle w:val="normal13"/>
              </w:rPr>
              <w:t xml:space="preserve">] an die </w:t>
            </w:r>
            <w:r>
              <w:rPr>
                <w:rStyle w:val="c7a789581"/>
              </w:rPr>
              <w:t>übertragende Partei</w:t>
            </w:r>
            <w:r>
              <w:rPr>
                <w:rStyle w:val="normal13"/>
              </w:rPr>
              <w:t xml:space="preserve"> zu übertragen.</w:t>
            </w:r>
          </w:p>
        </w:tc>
        <w:tc>
          <w:tcPr>
            <w:tcW w:w="4644" w:type="dxa"/>
          </w:tcPr>
          <w:p>
            <w:pPr>
              <w:rPr>
                <w:rFonts w:ascii="Arial" w:hAnsi="Arial" w:cs="Arial"/>
              </w:rPr>
            </w:pPr>
          </w:p>
        </w:tc>
      </w:tr>
      <w:tr>
        <w:tc>
          <w:tcPr>
            <w:tcW w:w="4644" w:type="dxa"/>
          </w:tcPr>
          <w:p>
            <w:pPr>
              <w:pStyle w:val="NormalWeb"/>
              <w:spacing w:before="240" w:after="240"/>
              <w:rPr>
                <w:rStyle w:val="normal13"/>
              </w:rPr>
            </w:pPr>
            <w:r>
              <w:rPr>
                <w:rStyle w:val="normal13"/>
              </w:rPr>
              <w:lastRenderedPageBreak/>
              <w:t xml:space="preserve">6.2. Auch allfällige </w:t>
            </w:r>
            <w:r>
              <w:rPr>
                <w:rStyle w:val="c7a789581"/>
              </w:rPr>
              <w:t>Ergebnisse</w:t>
            </w:r>
            <w:r>
              <w:rPr>
                <w:rStyle w:val="normal13"/>
              </w:rPr>
              <w:t xml:space="preserve">, die im Zuge </w:t>
            </w:r>
            <w:r>
              <w:rPr>
                <w:rStyle w:val="c7a789581"/>
              </w:rPr>
              <w:t>unzulässiger Nutzung</w:t>
            </w:r>
            <w:r>
              <w:rPr>
                <w:rStyle w:val="normal13"/>
              </w:rPr>
              <w:t xml:space="preserve"> entwickelt werden (wobei zur Klarstellung jedoch festgehalten wird, dass eine Entwicklung von </w:t>
            </w:r>
            <w:r>
              <w:rPr>
                <w:rStyle w:val="c7a789581"/>
              </w:rPr>
              <w:t>Ergebnissen</w:t>
            </w:r>
            <w:r>
              <w:rPr>
                <w:rStyle w:val="normal13"/>
              </w:rPr>
              <w:t xml:space="preserve"> im Zuge </w:t>
            </w:r>
            <w:r>
              <w:rPr>
                <w:rStyle w:val="c7a789581"/>
              </w:rPr>
              <w:t>unzulässiger Nutzung</w:t>
            </w:r>
            <w:r>
              <w:rPr>
                <w:rStyle w:val="normal13"/>
              </w:rPr>
              <w:t xml:space="preserve"> grundsätzlich nicht zulässig ist), werden Eigentum der </w:t>
            </w:r>
            <w:r>
              <w:rPr>
                <w:rStyle w:val="c7a789581"/>
              </w:rPr>
              <w:t>übernehmenden Partei</w:t>
            </w:r>
            <w:r>
              <w:rPr>
                <w:rStyle w:val="normal13"/>
              </w:rPr>
              <w:t xml:space="preserve">; dies jedoch gegen eine gesonderte Zahlung in angemessener Höhe, die zu leisten gewesen wäre, wenn die </w:t>
            </w:r>
            <w:r>
              <w:rPr>
                <w:rStyle w:val="c7a789581"/>
              </w:rPr>
              <w:t>Ergebnisse</w:t>
            </w:r>
            <w:r>
              <w:rPr>
                <w:rStyle w:val="normal13"/>
              </w:rPr>
              <w:t xml:space="preserve"> bei einem </w:t>
            </w:r>
            <w:r>
              <w:rPr>
                <w:rStyle w:val="c7a789581"/>
              </w:rPr>
              <w:t>Dritten</w:t>
            </w:r>
            <w:r>
              <w:rPr>
                <w:rStyle w:val="normal13"/>
              </w:rPr>
              <w:t xml:space="preserve"> erworben worden wären.</w:t>
            </w:r>
          </w:p>
          <w:p>
            <w:pPr>
              <w:pStyle w:val="NormalWeb"/>
              <w:spacing w:before="240" w:after="240"/>
            </w:pPr>
            <w:r>
              <w:rPr>
                <w:rStyle w:val="normal13"/>
              </w:rPr>
              <w:t>[</w:t>
            </w:r>
            <w:r>
              <w:rPr>
                <w:rStyle w:val="c7a789651"/>
              </w:rPr>
              <w:t>Alternative</w:t>
            </w:r>
            <w:r>
              <w:rPr>
                <w:rStyle w:val="normal13"/>
              </w:rPr>
              <w:t xml:space="preserve">: [6.2. Allfällige </w:t>
            </w:r>
            <w:r>
              <w:rPr>
                <w:rStyle w:val="c7a789581"/>
              </w:rPr>
              <w:t>Ergebnisse</w:t>
            </w:r>
            <w:r>
              <w:rPr>
                <w:rStyle w:val="normal13"/>
              </w:rPr>
              <w:t xml:space="preserve">, die im Zuge </w:t>
            </w:r>
            <w:r>
              <w:rPr>
                <w:rStyle w:val="c7a789581"/>
              </w:rPr>
              <w:t>unzulässiger Nutzung</w:t>
            </w:r>
            <w:r>
              <w:rPr>
                <w:rStyle w:val="normal13"/>
              </w:rPr>
              <w:t xml:space="preserve"> entwickelt werden, sind Eigentum der </w:t>
            </w:r>
            <w:r>
              <w:rPr>
                <w:rStyle w:val="c7a789581"/>
              </w:rPr>
              <w:t>übertragenden Partei</w:t>
            </w:r>
            <w:r>
              <w:rPr>
                <w:rStyle w:val="normal13"/>
              </w:rPr>
              <w:t xml:space="preserve"> und sind in jeder Hinsicht als der </w:t>
            </w:r>
            <w:r>
              <w:rPr>
                <w:rStyle w:val="c7a789581"/>
              </w:rPr>
              <w:t>übertragenden Partei</w:t>
            </w:r>
            <w:r>
              <w:rPr>
                <w:rStyle w:val="normal13"/>
              </w:rPr>
              <w:t xml:space="preserve"> gehörende </w:t>
            </w:r>
            <w:r>
              <w:rPr>
                <w:rStyle w:val="c7a789581"/>
              </w:rPr>
              <w:t>Immaterialgüterrechte</w:t>
            </w:r>
            <w:r>
              <w:rPr>
                <w:rStyle w:val="normal13"/>
              </w:rPr>
              <w:t xml:space="preserve"> zu behandeln. Im Zusammenhang mit der Erstellung aller Dokumente und Vornahme aller Handlungen, die nach vernünftigem Ermessen dafür notwendig sind, das Interesse an einer patentfähigen Erfindung oder an anderen aus der </w:t>
            </w:r>
            <w:r>
              <w:rPr>
                <w:rStyle w:val="c7a789581"/>
              </w:rPr>
              <w:t>unzulässigen Nutzung</w:t>
            </w:r>
            <w:r>
              <w:rPr>
                <w:rStyle w:val="normal13"/>
              </w:rPr>
              <w:t xml:space="preserve"> entstehenden </w:t>
            </w:r>
            <w:r>
              <w:rPr>
                <w:rStyle w:val="c7a789581"/>
              </w:rPr>
              <w:t>Immaterialgüterrechten</w:t>
            </w:r>
            <w:r>
              <w:rPr>
                <w:rStyle w:val="normal13"/>
              </w:rPr>
              <w:t xml:space="preserve"> an die </w:t>
            </w:r>
            <w:r>
              <w:rPr>
                <w:rStyle w:val="c7a789581"/>
              </w:rPr>
              <w:t>übertragende Partei</w:t>
            </w:r>
            <w:r>
              <w:rPr>
                <w:rStyle w:val="normal13"/>
              </w:rPr>
              <w:t xml:space="preserve"> abzutreten, wird die </w:t>
            </w:r>
            <w:r>
              <w:rPr>
                <w:rStyle w:val="c7a789581"/>
              </w:rPr>
              <w:t>übernehmende Partei</w:t>
            </w:r>
            <w:r>
              <w:rPr>
                <w:rStyle w:val="normal13"/>
              </w:rPr>
              <w:t xml:space="preserve"> in zumutbarem Ausmaß mit der </w:t>
            </w:r>
            <w:r>
              <w:rPr>
                <w:rStyle w:val="c7a789581"/>
              </w:rPr>
              <w:t>übertragenden Partei</w:t>
            </w:r>
            <w:r>
              <w:rPr>
                <w:rStyle w:val="normal13"/>
              </w:rPr>
              <w:t xml:space="preserve"> zusammenarbeiten und diese unterstützen.]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c7a789651"/>
              </w:rPr>
              <w:t>Option 6.3. (Offenlegung von Ergebnissen)</w:t>
            </w:r>
            <w:r>
              <w:rPr>
                <w:rStyle w:val="normal13"/>
              </w:rPr>
              <w:t xml:space="preserve">: Die </w:t>
            </w:r>
            <w:r>
              <w:rPr>
                <w:rStyle w:val="c7a789581"/>
              </w:rPr>
              <w:t>übernehmende Partei</w:t>
            </w:r>
            <w:r>
              <w:rPr>
                <w:rStyle w:val="normal13"/>
              </w:rPr>
              <w:t xml:space="preserve"> gewährt der </w:t>
            </w:r>
            <w:r>
              <w:rPr>
                <w:rStyle w:val="c7a789581"/>
              </w:rPr>
              <w:t>übertragenden Partei</w:t>
            </w:r>
            <w:r>
              <w:rPr>
                <w:rStyle w:val="normal13"/>
              </w:rPr>
              <w:t xml:space="preserve"> unentgeltlich Zugang zu allen </w:t>
            </w:r>
            <w:r>
              <w:rPr>
                <w:rStyle w:val="c7a789581"/>
              </w:rPr>
              <w:t>Daten</w:t>
            </w:r>
            <w:r>
              <w:rPr>
                <w:rStyle w:val="normal13"/>
              </w:rPr>
              <w:t xml:space="preserve"> und </w:t>
            </w:r>
            <w:r>
              <w:rPr>
                <w:rStyle w:val="c7a789581"/>
              </w:rPr>
              <w:t>Ergebnissen</w:t>
            </w:r>
            <w:r>
              <w:rPr>
                <w:rStyle w:val="normal13"/>
              </w:rPr>
              <w:t xml:space="preserve"> einschließlich eines Protokolls.</w:t>
            </w:r>
          </w:p>
        </w:tc>
        <w:tc>
          <w:tcPr>
            <w:tcW w:w="4644" w:type="dxa"/>
          </w:tcPr>
          <w:p>
            <w:pPr>
              <w:rPr>
                <w:rFonts w:ascii="Arial" w:hAnsi="Arial" w:cs="Arial"/>
              </w:rPr>
            </w:pPr>
          </w:p>
        </w:tc>
      </w:tr>
      <w:tr>
        <w:tc>
          <w:tcPr>
            <w:tcW w:w="4644" w:type="dxa"/>
          </w:tcPr>
          <w:p>
            <w:pPr>
              <w:pStyle w:val="NormalWeb"/>
              <w:spacing w:before="240" w:after="240"/>
              <w:rPr>
                <w:rFonts w:eastAsia="Times New Roman"/>
              </w:rPr>
            </w:pPr>
            <w:r>
              <w:rPr>
                <w:rStyle w:val="c7a789651"/>
              </w:rPr>
              <w:t>Alternative 1 (zu 6.1., 6.2.)</w:t>
            </w:r>
            <w:r>
              <w:rPr>
                <w:rStyle w:val="normal13"/>
              </w:rPr>
              <w:t xml:space="preserve">: [6.1. Die </w:t>
            </w:r>
            <w:r>
              <w:rPr>
                <w:rStyle w:val="c7a789581"/>
              </w:rPr>
              <w:t>übernehmende Partei</w:t>
            </w:r>
            <w:r>
              <w:rPr>
                <w:rStyle w:val="normal13"/>
              </w:rPr>
              <w:t xml:space="preserve"> verpflichtet sich, die </w:t>
            </w:r>
            <w:r>
              <w:rPr>
                <w:rStyle w:val="c7a789581"/>
              </w:rPr>
              <w:t>übertragende Partei</w:t>
            </w:r>
            <w:r>
              <w:rPr>
                <w:rStyle w:val="normal13"/>
              </w:rPr>
              <w:t xml:space="preserve"> unter strikter Wahrung aller Geheimhaltungsverpflichtungen regelmäßig über alle </w:t>
            </w:r>
            <w:r>
              <w:rPr>
                <w:rStyle w:val="c7a789581"/>
              </w:rPr>
              <w:t>Ergebnisse</w:t>
            </w:r>
            <w:r>
              <w:rPr>
                <w:rStyle w:val="normal13"/>
              </w:rPr>
              <w:t xml:space="preserve"> zu informieren, die im Rahmen des </w:t>
            </w:r>
            <w:r>
              <w:rPr>
                <w:rStyle w:val="c7a789581"/>
              </w:rPr>
              <w:t>Zwecks</w:t>
            </w:r>
            <w:r>
              <w:rPr>
                <w:rStyle w:val="normal13"/>
              </w:rPr>
              <w:t xml:space="preserve"> dieser </w:t>
            </w:r>
            <w:r>
              <w:rPr>
                <w:rStyle w:val="c7a789581"/>
              </w:rPr>
              <w:t>Vereinbarung</w:t>
            </w:r>
            <w:r>
              <w:rPr>
                <w:rStyle w:val="normal13"/>
              </w:rPr>
              <w:t xml:space="preserve"> hervorgebracht werden. Sollten diese </w:t>
            </w:r>
            <w:r>
              <w:rPr>
                <w:rStyle w:val="c7a789581"/>
              </w:rPr>
              <w:t>Ergebnisse</w:t>
            </w:r>
            <w:r>
              <w:rPr>
                <w:rStyle w:val="normal13"/>
              </w:rPr>
              <w:t xml:space="preserve"> als </w:t>
            </w:r>
            <w:r>
              <w:rPr>
                <w:rStyle w:val="c7a789581"/>
              </w:rPr>
              <w:t>Immaterialgüterrechte</w:t>
            </w:r>
            <w:r>
              <w:rPr>
                <w:rStyle w:val="normal13"/>
              </w:rPr>
              <w:t xml:space="preserve"> (z.B. als Patent) schutzfähig sein, hat unverzüglich eine Benachrichtigung über die relevanten </w:t>
            </w:r>
            <w:r>
              <w:rPr>
                <w:rStyle w:val="c7a789581"/>
              </w:rPr>
              <w:t>Ergebnisse</w:t>
            </w:r>
            <w:r>
              <w:rPr>
                <w:rStyle w:val="normal13"/>
              </w:rPr>
              <w:t xml:space="preserve"> zu erfolgen. </w:t>
            </w:r>
          </w:p>
          <w:p>
            <w:pPr>
              <w:pStyle w:val="NormalWeb"/>
            </w:pPr>
            <w:r>
              <w:rPr>
                <w:rStyle w:val="normal13"/>
              </w:rPr>
              <w:lastRenderedPageBreak/>
              <w:t xml:space="preserve">Beide </w:t>
            </w:r>
            <w:r>
              <w:rPr>
                <w:rStyle w:val="c7a789581"/>
              </w:rPr>
              <w:t>Parteien</w:t>
            </w:r>
            <w:r>
              <w:rPr>
                <w:rStyle w:val="normal13"/>
              </w:rPr>
              <w:t xml:space="preserve"> werden alles tun bzw. unterlassen, um sicherzustellen, dass </w:t>
            </w:r>
            <w:r>
              <w:rPr>
                <w:rStyle w:val="c7a789581"/>
              </w:rPr>
              <w:t>Immaterialgüterrechte</w:t>
            </w:r>
            <w:r>
              <w:rPr>
                <w:rStyle w:val="normal13"/>
              </w:rPr>
              <w:t xml:space="preserve"> ordnungsgemäß registriert werden können; insbesondere werden sie diesbezüglich alle möglicherweise neuheitsschädlichen Handlungen unterlassen und alle möglichen Vorsichtsmaßnahmen ergreifen. Um dem Veröffentlichungsinteresse jeder der </w:t>
            </w:r>
            <w:r>
              <w:rPr>
                <w:rStyle w:val="c7a789581"/>
              </w:rPr>
              <w:t>Parteien</w:t>
            </w:r>
            <w:r>
              <w:rPr>
                <w:rStyle w:val="normal13"/>
              </w:rPr>
              <w:t xml:space="preserve"> Rechnung zu tragen, sind </w:t>
            </w:r>
            <w:r>
              <w:rPr>
                <w:rStyle w:val="c7a789581"/>
              </w:rPr>
              <w:t>Immaterialgüterrechte</w:t>
            </w:r>
            <w:r>
              <w:rPr>
                <w:rStyle w:val="normal13"/>
              </w:rPr>
              <w:t xml:space="preserve"> jedenfalls innerhalb von </w:t>
            </w:r>
            <w:r>
              <w:rPr>
                <w:rStyle w:val="c7a789641"/>
              </w:rPr>
              <w:t>____</w:t>
            </w:r>
            <w:r>
              <w:rPr>
                <w:rStyle w:val="normal13"/>
              </w:rPr>
              <w:t>(</w:t>
            </w:r>
            <w:r>
              <w:rPr>
                <w:rStyle w:val="c7a789631"/>
              </w:rPr>
              <w:t>z.B. 2 (zwei)</w:t>
            </w:r>
            <w:r>
              <w:rPr>
                <w:rStyle w:val="normal13"/>
              </w:rPr>
              <w:t>) Monaten zu registrieren.</w:t>
            </w:r>
          </w:p>
          <w:p>
            <w:pPr>
              <w:pStyle w:val="NormalWeb"/>
              <w:spacing w:before="240" w:after="240"/>
            </w:pPr>
            <w:r>
              <w:rPr>
                <w:rStyle w:val="normal13"/>
              </w:rPr>
              <w:t xml:space="preserve">6.2. Die </w:t>
            </w:r>
            <w:r>
              <w:rPr>
                <w:rStyle w:val="c7a789581"/>
              </w:rPr>
              <w:t>übertragende Partei</w:t>
            </w:r>
            <w:r>
              <w:rPr>
                <w:rStyle w:val="normal13"/>
              </w:rPr>
              <w:t xml:space="preserve"> ist Eigentümerin sämtlicher </w:t>
            </w:r>
            <w:r>
              <w:rPr>
                <w:rStyle w:val="c7a789581"/>
              </w:rPr>
              <w:t>Ergebnisse</w:t>
            </w:r>
            <w:r>
              <w:rPr>
                <w:rStyle w:val="normal13"/>
              </w:rPr>
              <w:t xml:space="preserve"> und nur die </w:t>
            </w:r>
            <w:r>
              <w:rPr>
                <w:rStyle w:val="c7a789581"/>
              </w:rPr>
              <w:t>übertragende Partei</w:t>
            </w:r>
            <w:r>
              <w:rPr>
                <w:rStyle w:val="normal13"/>
              </w:rPr>
              <w:t xml:space="preserve"> ist berechtigt, </w:t>
            </w:r>
            <w:r>
              <w:rPr>
                <w:rStyle w:val="c7a789581"/>
              </w:rPr>
              <w:t>Immaterialgüterrechte</w:t>
            </w:r>
            <w:r>
              <w:rPr>
                <w:rStyle w:val="normal13"/>
              </w:rPr>
              <w:t xml:space="preserve"> für diese </w:t>
            </w:r>
            <w:r>
              <w:rPr>
                <w:rStyle w:val="c7a789581"/>
              </w:rPr>
              <w:t>Ergebnisse</w:t>
            </w:r>
            <w:r>
              <w:rPr>
                <w:rStyle w:val="normal13"/>
              </w:rPr>
              <w:t xml:space="preserve"> eintragen zu lassen. [</w:t>
            </w:r>
            <w:r>
              <w:rPr>
                <w:rStyle w:val="c7a789601"/>
              </w:rPr>
              <w:t xml:space="preserve">Sollten die </w:t>
            </w:r>
            <w:r>
              <w:rPr>
                <w:rStyle w:val="c7a789611"/>
              </w:rPr>
              <w:t>Ergebnisse</w:t>
            </w:r>
            <w:r>
              <w:rPr>
                <w:rStyle w:val="c7a789601"/>
              </w:rPr>
              <w:t xml:space="preserve"> potenziell patentfähige Erfindungen beinhalten, sind die </w:t>
            </w:r>
            <w:r>
              <w:rPr>
                <w:rStyle w:val="c7a789611"/>
              </w:rPr>
              <w:t>Ergebnisse</w:t>
            </w:r>
            <w:r>
              <w:rPr>
                <w:rStyle w:val="c7a789601"/>
              </w:rPr>
              <w:t xml:space="preserve"> gegen Zahlung einer Vergütung, die in einer gesondert abzuschließenden Vereinbarung näher zu bestimmen ist, sich aber auf mindestens EUR</w:t>
            </w:r>
            <w:r>
              <w:rPr>
                <w:rStyle w:val="normal13"/>
              </w:rPr>
              <w:t xml:space="preserve"> </w:t>
            </w:r>
            <w:r>
              <w:rPr>
                <w:rStyle w:val="c7a789641"/>
              </w:rPr>
              <w:t>____</w:t>
            </w:r>
            <w:r>
              <w:rPr>
                <w:rStyle w:val="c7a789601"/>
              </w:rPr>
              <w:t xml:space="preserve">(exklusive </w:t>
            </w:r>
            <w:proofErr w:type="spellStart"/>
            <w:r>
              <w:rPr>
                <w:rStyle w:val="c7a789601"/>
              </w:rPr>
              <w:t>USt</w:t>
            </w:r>
            <w:proofErr w:type="spellEnd"/>
            <w:r>
              <w:rPr>
                <w:rStyle w:val="c7a789601"/>
              </w:rPr>
              <w:t xml:space="preserve">.) pro potenziell patentfähiger Erfindung beläuft, an die </w:t>
            </w:r>
            <w:r>
              <w:rPr>
                <w:rStyle w:val="c7a789611"/>
              </w:rPr>
              <w:t>übertragende Partei</w:t>
            </w:r>
            <w:r>
              <w:rPr>
                <w:rStyle w:val="c7a789601"/>
              </w:rPr>
              <w:t xml:space="preserve"> zu übertragen.</w:t>
            </w:r>
            <w:r>
              <w:rPr>
                <w:rStyle w:val="normal13"/>
              </w:rPr>
              <w:t xml:space="preserve">] Wenn </w:t>
            </w:r>
            <w:proofErr w:type="spellStart"/>
            <w:r>
              <w:rPr>
                <w:rStyle w:val="normal13"/>
              </w:rPr>
              <w:t>MitarbeiterInnen</w:t>
            </w:r>
            <w:proofErr w:type="spellEnd"/>
            <w:r>
              <w:rPr>
                <w:rStyle w:val="normal13"/>
              </w:rPr>
              <w:t xml:space="preserve"> der </w:t>
            </w:r>
            <w:r>
              <w:rPr>
                <w:rStyle w:val="c7a789581"/>
              </w:rPr>
              <w:t>übernehmenden Partei</w:t>
            </w:r>
            <w:r>
              <w:rPr>
                <w:rStyle w:val="normal13"/>
              </w:rPr>
              <w:t xml:space="preserve"> über Rechte an diesen </w:t>
            </w:r>
            <w:r>
              <w:rPr>
                <w:rStyle w:val="c7a789581"/>
              </w:rPr>
              <w:t>Ergebnissen</w:t>
            </w:r>
            <w:r>
              <w:rPr>
                <w:rStyle w:val="normal13"/>
              </w:rPr>
              <w:t xml:space="preserve"> verfügen, wird die </w:t>
            </w:r>
            <w:r>
              <w:rPr>
                <w:rStyle w:val="c7a789581"/>
              </w:rPr>
              <w:t>übernehmende Partei</w:t>
            </w:r>
            <w:r>
              <w:rPr>
                <w:rStyle w:val="normal13"/>
              </w:rPr>
              <w:t xml:space="preserve"> alle Maßnahmen ergreifen, die notwendig sind, damit die </w:t>
            </w:r>
            <w:r>
              <w:rPr>
                <w:rStyle w:val="c7a789581"/>
              </w:rPr>
              <w:t>Immaterialgüterrechte</w:t>
            </w:r>
            <w:r>
              <w:rPr>
                <w:rStyle w:val="normal13"/>
              </w:rPr>
              <w:t xml:space="preserve"> für diese </w:t>
            </w:r>
            <w:r>
              <w:rPr>
                <w:rStyle w:val="c7a789581"/>
              </w:rPr>
              <w:t>Ergebnisse</w:t>
            </w:r>
            <w:r>
              <w:rPr>
                <w:rStyle w:val="normal13"/>
              </w:rPr>
              <w:t xml:space="preserve"> von der </w:t>
            </w:r>
            <w:r>
              <w:rPr>
                <w:rStyle w:val="c7a789581"/>
              </w:rPr>
              <w:t>übernehmenden Partei</w:t>
            </w:r>
            <w:r>
              <w:rPr>
                <w:rStyle w:val="normal13"/>
              </w:rPr>
              <w:t xml:space="preserve"> erworben und an die </w:t>
            </w:r>
            <w:r>
              <w:rPr>
                <w:rStyle w:val="c7a789581"/>
              </w:rPr>
              <w:t>übertragende Partei</w:t>
            </w:r>
            <w:r>
              <w:rPr>
                <w:rStyle w:val="normal13"/>
              </w:rPr>
              <w:t xml:space="preserve"> übertragen werden können; [</w:t>
            </w:r>
            <w:r>
              <w:rPr>
                <w:rStyle w:val="c7a789601"/>
              </w:rPr>
              <w:t xml:space="preserve">die </w:t>
            </w:r>
            <w:r>
              <w:rPr>
                <w:rStyle w:val="c7a789611"/>
              </w:rPr>
              <w:t>übertragende Partei</w:t>
            </w:r>
            <w:r>
              <w:rPr>
                <w:rStyle w:val="c7a789601"/>
              </w:rPr>
              <w:t xml:space="preserve"> hat der </w:t>
            </w:r>
            <w:r>
              <w:rPr>
                <w:rStyle w:val="c7a789611"/>
              </w:rPr>
              <w:t>übernehmenden Partei</w:t>
            </w:r>
            <w:r>
              <w:rPr>
                <w:rStyle w:val="c7a789601"/>
              </w:rPr>
              <w:t xml:space="preserve"> jegliche den </w:t>
            </w:r>
            <w:proofErr w:type="spellStart"/>
            <w:r>
              <w:rPr>
                <w:rStyle w:val="c7a789601"/>
              </w:rPr>
              <w:t>MitarbeiterInnen</w:t>
            </w:r>
            <w:proofErr w:type="spellEnd"/>
            <w:r>
              <w:rPr>
                <w:rStyle w:val="c7a789601"/>
              </w:rPr>
              <w:t xml:space="preserve"> in diesem Zusammenhang gesetzlich zustehende Vergütung (“Erfindervergütung”) zu erstatten, solange der </w:t>
            </w:r>
            <w:r>
              <w:rPr>
                <w:rStyle w:val="c7a789611"/>
              </w:rPr>
              <w:t>Zweck</w:t>
            </w:r>
            <w:r>
              <w:rPr>
                <w:rStyle w:val="c7a789601"/>
              </w:rPr>
              <w:t xml:space="preserve"> dieser </w:t>
            </w:r>
            <w:r>
              <w:rPr>
                <w:rStyle w:val="c7a789611"/>
              </w:rPr>
              <w:t>Vereinbarung</w:t>
            </w:r>
            <w:r>
              <w:rPr>
                <w:rStyle w:val="c7a789601"/>
              </w:rPr>
              <w:t xml:space="preserve"> erfüllt wird und die </w:t>
            </w:r>
            <w:r>
              <w:rPr>
                <w:rStyle w:val="c7a789611"/>
              </w:rPr>
              <w:t>Immaterialgüterrechte</w:t>
            </w:r>
            <w:r>
              <w:rPr>
                <w:rStyle w:val="c7a789601"/>
              </w:rPr>
              <w:t xml:space="preserve"> unentgeltlich an die </w:t>
            </w:r>
            <w:r>
              <w:rPr>
                <w:rStyle w:val="c7a789611"/>
              </w:rPr>
              <w:t>übertragende Partei</w:t>
            </w:r>
            <w:r>
              <w:rPr>
                <w:rStyle w:val="c7a789601"/>
              </w:rPr>
              <w:t xml:space="preserve"> übertragen werden.</w:t>
            </w:r>
            <w:r>
              <w:rPr>
                <w:rStyle w:val="normal13"/>
              </w:rPr>
              <w:t xml:space="preserve">] </w:t>
            </w:r>
          </w:p>
          <w:p>
            <w:pPr>
              <w:pStyle w:val="NormalWeb"/>
              <w:spacing w:before="240" w:after="240"/>
            </w:pPr>
            <w:r>
              <w:rPr>
                <w:rStyle w:val="normal13"/>
              </w:rPr>
              <w:t xml:space="preserve">6.3. Die </w:t>
            </w:r>
            <w:r>
              <w:rPr>
                <w:rStyle w:val="c7a789581"/>
              </w:rPr>
              <w:t>übernehmende Partei</w:t>
            </w:r>
            <w:r>
              <w:rPr>
                <w:rStyle w:val="normal13"/>
              </w:rPr>
              <w:t xml:space="preserve"> ist berechtigt, die </w:t>
            </w:r>
            <w:r>
              <w:rPr>
                <w:rStyle w:val="c7a789581"/>
              </w:rPr>
              <w:t>Ergebnisse</w:t>
            </w:r>
            <w:r>
              <w:rPr>
                <w:rStyle w:val="normal13"/>
              </w:rPr>
              <w:t xml:space="preserve"> unentgeltlich für </w:t>
            </w:r>
            <w:r>
              <w:rPr>
                <w:rStyle w:val="normal13"/>
                <w:b/>
              </w:rPr>
              <w:t>Forschung</w:t>
            </w:r>
            <w:r>
              <w:rPr>
                <w:rStyle w:val="normal13"/>
              </w:rPr>
              <w:t xml:space="preserve"> [</w:t>
            </w:r>
            <w:r>
              <w:rPr>
                <w:rStyle w:val="c7a789601"/>
              </w:rPr>
              <w:t>ausgenommen:</w:t>
            </w:r>
            <w:r>
              <w:rPr>
                <w:rStyle w:val="normal13"/>
              </w:rPr>
              <w:t xml:space="preserve"> (</w:t>
            </w:r>
            <w:r>
              <w:rPr>
                <w:rStyle w:val="c7a789631"/>
              </w:rPr>
              <w:t>Ausnahmen hinzufügen, z.B. Auftragsforschung</w:t>
            </w:r>
            <w:r>
              <w:rPr>
                <w:rStyle w:val="normal13"/>
              </w:rPr>
              <w:t>)] zu nutzen. [</w:t>
            </w:r>
            <w:r>
              <w:rPr>
                <w:rStyle w:val="c7a789651"/>
              </w:rPr>
              <w:t>Alternative</w:t>
            </w:r>
            <w:r>
              <w:rPr>
                <w:rStyle w:val="normal13"/>
              </w:rPr>
              <w:t xml:space="preserve">: Die </w:t>
            </w:r>
            <w:r>
              <w:rPr>
                <w:rStyle w:val="c7a789581"/>
              </w:rPr>
              <w:t>übernehmende Partei</w:t>
            </w:r>
            <w:r>
              <w:rPr>
                <w:rStyle w:val="normal13"/>
              </w:rPr>
              <w:t xml:space="preserve"> ist berechtigt, die </w:t>
            </w:r>
            <w:r>
              <w:rPr>
                <w:rStyle w:val="c7a789581"/>
              </w:rPr>
              <w:t>Ergebnisse</w:t>
            </w:r>
            <w:r>
              <w:rPr>
                <w:rStyle w:val="normal13"/>
              </w:rPr>
              <w:t xml:space="preserve"> auf der Basis einer </w:t>
            </w:r>
            <w:r>
              <w:rPr>
                <w:rStyle w:val="c7a789581"/>
              </w:rPr>
              <w:t>Vereinbarung</w:t>
            </w:r>
            <w:r>
              <w:rPr>
                <w:rStyle w:val="normal13"/>
              </w:rPr>
              <w:t xml:space="preserve"> zu nutzen, wobei die </w:t>
            </w:r>
            <w:r>
              <w:rPr>
                <w:rStyle w:val="c7a789581"/>
              </w:rPr>
              <w:t>übertragende Partei</w:t>
            </w:r>
            <w:r>
              <w:rPr>
                <w:rStyle w:val="normal13"/>
              </w:rPr>
              <w:t xml:space="preserve"> und die </w:t>
            </w:r>
            <w:r>
              <w:rPr>
                <w:rStyle w:val="c7a789581"/>
              </w:rPr>
              <w:t>übernehmende Partei</w:t>
            </w:r>
            <w:r>
              <w:rPr>
                <w:rStyle w:val="normal13"/>
              </w:rPr>
              <w:t xml:space="preserve"> die Vergütung nach Treu und Glauben und unter Berücksichtigung ihrer Beiträge zu den </w:t>
            </w:r>
            <w:r>
              <w:rPr>
                <w:rStyle w:val="c7a789581"/>
              </w:rPr>
              <w:lastRenderedPageBreak/>
              <w:t>Ergebnissen</w:t>
            </w:r>
            <w:r>
              <w:rPr>
                <w:rStyle w:val="normal13"/>
              </w:rPr>
              <w:t xml:space="preserve"> verhandeln werden. </w:t>
            </w:r>
          </w:p>
          <w:p>
            <w:pPr>
              <w:pStyle w:val="NormalWeb"/>
              <w:spacing w:before="240" w:after="240"/>
              <w:rPr>
                <w:rFonts w:ascii="Arial" w:hAnsi="Arial" w:cs="Arial"/>
              </w:rPr>
            </w:pPr>
            <w:r>
              <w:rPr>
                <w:rStyle w:val="normal13"/>
              </w:rPr>
              <w:t xml:space="preserve">6.4. Sollte sich die </w:t>
            </w:r>
            <w:r>
              <w:rPr>
                <w:rStyle w:val="c7a789581"/>
              </w:rPr>
              <w:t>übertragende Partei</w:t>
            </w:r>
            <w:r>
              <w:rPr>
                <w:rStyle w:val="normal13"/>
              </w:rPr>
              <w:t xml:space="preserve"> dafür entscheiden, die weitere Verwendung der </w:t>
            </w:r>
            <w:r>
              <w:rPr>
                <w:rStyle w:val="c7a789581"/>
              </w:rPr>
              <w:t>Ergebnisse</w:t>
            </w:r>
            <w:r>
              <w:rPr>
                <w:rStyle w:val="normal13"/>
              </w:rPr>
              <w:t xml:space="preserve"> zu unterlassen, hat sie diese Entscheidung unverzüglich der </w:t>
            </w:r>
            <w:r>
              <w:rPr>
                <w:rStyle w:val="c7a789581"/>
              </w:rPr>
              <w:t>übernehmenden Partei</w:t>
            </w:r>
            <w:r>
              <w:rPr>
                <w:rStyle w:val="normal13"/>
              </w:rPr>
              <w:t xml:space="preserve"> mitzuteilen und der </w:t>
            </w:r>
            <w:r>
              <w:rPr>
                <w:rStyle w:val="c7a789581"/>
              </w:rPr>
              <w:t>übernehmenden Partei</w:t>
            </w:r>
            <w:r>
              <w:rPr>
                <w:rStyle w:val="normal13"/>
              </w:rPr>
              <w:t xml:space="preserve"> auf deren Verlangen alle Rechte, Ansprüche und Forderungen bezüglich der genannten </w:t>
            </w:r>
            <w:r>
              <w:rPr>
                <w:rStyle w:val="c7a789581"/>
              </w:rPr>
              <w:t>Ergebnisse</w:t>
            </w:r>
            <w:r>
              <w:rPr>
                <w:rStyle w:val="normal13"/>
              </w:rPr>
              <w:t xml:space="preserve"> [</w:t>
            </w:r>
            <w:r>
              <w:rPr>
                <w:rStyle w:val="c7a789601"/>
              </w:rPr>
              <w:t>unentgeltlich</w:t>
            </w:r>
            <w:r>
              <w:rPr>
                <w:rStyle w:val="normal13"/>
              </w:rPr>
              <w:t>][</w:t>
            </w:r>
            <w:r>
              <w:rPr>
                <w:rStyle w:val="c7a789601"/>
              </w:rPr>
              <w:t>gegen eine Vergütung von EUR</w:t>
            </w:r>
            <w:r>
              <w:rPr>
                <w:rStyle w:val="normal13"/>
              </w:rPr>
              <w:t xml:space="preserve"> </w:t>
            </w:r>
            <w:r>
              <w:rPr>
                <w:rStyle w:val="c7a789641"/>
              </w:rPr>
              <w:t>____</w:t>
            </w:r>
            <w:r>
              <w:rPr>
                <w:rStyle w:val="normal13"/>
              </w:rPr>
              <w:t>] zu übertragen.</w:t>
            </w:r>
          </w:p>
        </w:tc>
        <w:tc>
          <w:tcPr>
            <w:tcW w:w="4644" w:type="dxa"/>
          </w:tcPr>
          <w:p>
            <w:pPr>
              <w:rPr>
                <w:rFonts w:ascii="Arial" w:hAnsi="Arial" w:cs="Arial"/>
              </w:rPr>
            </w:pPr>
          </w:p>
        </w:tc>
      </w:tr>
      <w:tr>
        <w:tc>
          <w:tcPr>
            <w:tcW w:w="4644" w:type="dxa"/>
          </w:tcPr>
          <w:p>
            <w:pPr>
              <w:pStyle w:val="NormalWeb"/>
              <w:spacing w:before="240" w:after="240"/>
              <w:rPr>
                <w:rFonts w:ascii="Arial" w:hAnsi="Arial" w:cs="Arial"/>
                <w:color w:val="000000"/>
                <w:sz w:val="22"/>
                <w:szCs w:val="22"/>
              </w:rPr>
            </w:pPr>
            <w:r>
              <w:rPr>
                <w:rStyle w:val="c7a789651"/>
              </w:rPr>
              <w:lastRenderedPageBreak/>
              <w:t>Alternative 2 (zu 6.1., 6.2.)</w:t>
            </w:r>
            <w:r>
              <w:rPr>
                <w:rStyle w:val="normal13"/>
              </w:rPr>
              <w:t xml:space="preserve">: [6.1. Sämtliche </w:t>
            </w:r>
            <w:r>
              <w:rPr>
                <w:rStyle w:val="c7a789581"/>
              </w:rPr>
              <w:t>Ergebnisse</w:t>
            </w:r>
            <w:r>
              <w:rPr>
                <w:rStyle w:val="normal13"/>
              </w:rPr>
              <w:t xml:space="preserve"> stehen[</w:t>
            </w:r>
            <w:r>
              <w:rPr>
                <w:rStyle w:val="c7a789601"/>
              </w:rPr>
              <w:t xml:space="preserve">Wenn sowohl </w:t>
            </w:r>
            <w:proofErr w:type="spellStart"/>
            <w:r>
              <w:rPr>
                <w:rStyle w:val="c7a789601"/>
              </w:rPr>
              <w:t>MitarbeiterInnen</w:t>
            </w:r>
            <w:proofErr w:type="spellEnd"/>
            <w:r>
              <w:rPr>
                <w:rStyle w:val="c7a789601"/>
              </w:rPr>
              <w:t xml:space="preserve"> der </w:t>
            </w:r>
            <w:r>
              <w:rPr>
                <w:rStyle w:val="c7a789611"/>
              </w:rPr>
              <w:t>übernehmenden Partei</w:t>
            </w:r>
            <w:r>
              <w:rPr>
                <w:rStyle w:val="c7a789601"/>
              </w:rPr>
              <w:t xml:space="preserve"> als auch </w:t>
            </w:r>
            <w:proofErr w:type="spellStart"/>
            <w:r>
              <w:rPr>
                <w:rStyle w:val="c7a789601"/>
              </w:rPr>
              <w:t>MitarbeiterInnen</w:t>
            </w:r>
            <w:proofErr w:type="spellEnd"/>
            <w:r>
              <w:rPr>
                <w:rStyle w:val="c7a789601"/>
              </w:rPr>
              <w:t xml:space="preserve"> der </w:t>
            </w:r>
            <w:r>
              <w:rPr>
                <w:rStyle w:val="c7a789611"/>
              </w:rPr>
              <w:t>übertragenden Partei</w:t>
            </w:r>
            <w:r>
              <w:rPr>
                <w:rStyle w:val="c7a789601"/>
              </w:rPr>
              <w:t xml:space="preserve"> zu den </w:t>
            </w:r>
            <w:r>
              <w:rPr>
                <w:rStyle w:val="c7a789611"/>
              </w:rPr>
              <w:t>Ergebnissen</w:t>
            </w:r>
            <w:r>
              <w:rPr>
                <w:rStyle w:val="c7a789601"/>
              </w:rPr>
              <w:t xml:space="preserve"> beigetragen haben, stehen diese </w:t>
            </w:r>
            <w:r>
              <w:rPr>
                <w:rStyle w:val="c7a789611"/>
              </w:rPr>
              <w:t>Ergebnisse</w:t>
            </w:r>
            <w:r>
              <w:rPr>
                <w:rStyle w:val="normal13"/>
              </w:rPr>
              <w:t xml:space="preserve">] im gemeinsamen Eigentum der </w:t>
            </w:r>
            <w:r>
              <w:rPr>
                <w:rStyle w:val="c7a789581"/>
              </w:rPr>
              <w:t>übertragenden Partei</w:t>
            </w:r>
            <w:r>
              <w:rPr>
                <w:rStyle w:val="normal13"/>
              </w:rPr>
              <w:t xml:space="preserve"> und der </w:t>
            </w:r>
            <w:r>
              <w:rPr>
                <w:rStyle w:val="c7a789581"/>
              </w:rPr>
              <w:t>übernehmenden Partei</w:t>
            </w:r>
            <w:r>
              <w:rPr>
                <w:rStyle w:val="normal13"/>
              </w:rPr>
              <w:t xml:space="preserve"> [</w:t>
            </w:r>
            <w:r>
              <w:rPr>
                <w:rStyle w:val="c7a789601"/>
              </w:rPr>
              <w:t xml:space="preserve">und zwar vorbehaltlich Punkt 5. Zur Klarstellung: Dies berührt weder das ausschließliche Eigentum der </w:t>
            </w:r>
            <w:r>
              <w:rPr>
                <w:rStyle w:val="c7a789611"/>
              </w:rPr>
              <w:t>übertragenden Partei</w:t>
            </w:r>
            <w:r>
              <w:rPr>
                <w:rStyle w:val="c7a789601"/>
              </w:rPr>
              <w:t xml:space="preserve"> oder der </w:t>
            </w:r>
            <w:r>
              <w:rPr>
                <w:rStyle w:val="c7a789611"/>
              </w:rPr>
              <w:t>übernehmenden Partei</w:t>
            </w:r>
            <w:r>
              <w:rPr>
                <w:rStyle w:val="c7a789601"/>
              </w:rPr>
              <w:t xml:space="preserve"> am </w:t>
            </w:r>
            <w:r>
              <w:rPr>
                <w:rStyle w:val="c7a789611"/>
              </w:rPr>
              <w:t>Material</w:t>
            </w:r>
            <w:r>
              <w:rPr>
                <w:rStyle w:val="c7a789601"/>
              </w:rPr>
              <w:t xml:space="preserve"> noch die damit verbundenen </w:t>
            </w:r>
            <w:r>
              <w:rPr>
                <w:rStyle w:val="c7a789611"/>
              </w:rPr>
              <w:t>Immaterialgüterrechte</w:t>
            </w:r>
            <w:r>
              <w:rPr>
                <w:rStyle w:val="c7a789601"/>
              </w:rPr>
              <w:t>, auf die sie gemäß Punkt 5 Anspruch hat)</w:t>
            </w:r>
            <w:r>
              <w:rPr>
                <w:rStyle w:val="normal13"/>
              </w:rPr>
              <w:t xml:space="preserve">]. Die </w:t>
            </w:r>
            <w:r>
              <w:rPr>
                <w:rStyle w:val="c7a789581"/>
              </w:rPr>
              <w:t>übertragende Partei</w:t>
            </w:r>
            <w:r>
              <w:rPr>
                <w:rStyle w:val="normal13"/>
              </w:rPr>
              <w:t xml:space="preserve"> und die </w:t>
            </w:r>
            <w:r>
              <w:rPr>
                <w:rStyle w:val="c7a789581"/>
              </w:rPr>
              <w:t>übernehmende Partei</w:t>
            </w:r>
            <w:r>
              <w:rPr>
                <w:rStyle w:val="normal13"/>
              </w:rPr>
              <w:t xml:space="preserve"> werden die Rollen und Bedingungen für die Ausübung dieser gemeinsamen Eigentümerschaft, insbesondere hinsichtlich des Schutzes durch </w:t>
            </w:r>
            <w:r>
              <w:rPr>
                <w:rStyle w:val="c7a789581"/>
              </w:rPr>
              <w:t>Immaterialgüterrechte</w:t>
            </w:r>
            <w:r>
              <w:rPr>
                <w:rStyle w:val="normal13"/>
              </w:rPr>
              <w:t xml:space="preserve"> (z.B. Patent) und des Nutzungsrechts, nach Treu und Glauben und unter Berücksichtigung ihres jeweiligen Beitrags zu den </w:t>
            </w:r>
            <w:r>
              <w:rPr>
                <w:rStyle w:val="c7a789581"/>
              </w:rPr>
              <w:t>Ergebnissen</w:t>
            </w:r>
            <w:r>
              <w:rPr>
                <w:rStyle w:val="normal13"/>
              </w:rPr>
              <w:t xml:space="preserve"> verhandeln. Sollte sich die </w:t>
            </w:r>
            <w:r>
              <w:rPr>
                <w:rStyle w:val="c7a789581"/>
              </w:rPr>
              <w:t>übernehmende Partei</w:t>
            </w:r>
            <w:r>
              <w:rPr>
                <w:rStyle w:val="normal13"/>
              </w:rPr>
              <w:t xml:space="preserve"> dafür entscheiden, die weitere Verwendung der </w:t>
            </w:r>
            <w:r>
              <w:rPr>
                <w:rStyle w:val="c7a789581"/>
              </w:rPr>
              <w:t>Ergebnisse</w:t>
            </w:r>
            <w:r>
              <w:rPr>
                <w:rStyle w:val="normal13"/>
              </w:rPr>
              <w:t xml:space="preserve"> zu unterlassen, hat sie diese Entscheidung unverzüglich der </w:t>
            </w:r>
            <w:r>
              <w:rPr>
                <w:rStyle w:val="c7a789581"/>
              </w:rPr>
              <w:t>übertragenden Partei</w:t>
            </w:r>
            <w:r>
              <w:rPr>
                <w:rStyle w:val="normal13"/>
              </w:rPr>
              <w:t xml:space="preserve"> mitzuteilen und auf Verlangen der </w:t>
            </w:r>
            <w:r>
              <w:rPr>
                <w:rStyle w:val="c7a789581"/>
              </w:rPr>
              <w:t>übertragenden Partei</w:t>
            </w:r>
            <w:r>
              <w:rPr>
                <w:rStyle w:val="normal13"/>
              </w:rPr>
              <w:t xml:space="preserve"> alle Rechte, Ansprüche und Forderungen bezüglich der genannten </w:t>
            </w:r>
            <w:r>
              <w:rPr>
                <w:rStyle w:val="c7a789581"/>
              </w:rPr>
              <w:t>Ergebnisse</w:t>
            </w:r>
            <w:r>
              <w:rPr>
                <w:rStyle w:val="normal13"/>
              </w:rPr>
              <w:t>, einschließlich der Nutzung von erforderlichem vorbestehenden geistigen Eigentum, [</w:t>
            </w:r>
            <w:r>
              <w:rPr>
                <w:rStyle w:val="c7a789601"/>
              </w:rPr>
              <w:t>unentgeltlich</w:t>
            </w:r>
            <w:r>
              <w:rPr>
                <w:rStyle w:val="normal13"/>
              </w:rPr>
              <w:t>][</w:t>
            </w:r>
            <w:r>
              <w:rPr>
                <w:rStyle w:val="c7a789601"/>
              </w:rPr>
              <w:t xml:space="preserve">gegen eine Vergütung von EUR </w:t>
            </w:r>
            <w:r>
              <w:rPr>
                <w:rStyle w:val="c7a789641"/>
              </w:rPr>
              <w:t>____</w:t>
            </w:r>
            <w:r>
              <w:rPr>
                <w:rStyle w:val="normal13"/>
              </w:rPr>
              <w:t xml:space="preserve">] an die </w:t>
            </w:r>
            <w:r>
              <w:rPr>
                <w:rStyle w:val="c7a789581"/>
              </w:rPr>
              <w:t>übertragende Partei</w:t>
            </w:r>
            <w:r>
              <w:rPr>
                <w:rStyle w:val="normal13"/>
              </w:rPr>
              <w:t xml:space="preserve"> zu übertragen.</w:t>
            </w:r>
          </w:p>
        </w:tc>
        <w:tc>
          <w:tcPr>
            <w:tcW w:w="4644" w:type="dxa"/>
          </w:tcPr>
          <w:p>
            <w:pPr>
              <w:rPr>
                <w:rFonts w:ascii="Arial" w:hAnsi="Arial" w:cs="Arial"/>
              </w:rPr>
            </w:pPr>
          </w:p>
        </w:tc>
      </w:tr>
      <w:tr>
        <w:tc>
          <w:tcPr>
            <w:tcW w:w="4644" w:type="dxa"/>
          </w:tcPr>
          <w:p>
            <w:pPr>
              <w:pStyle w:val="NormalWeb"/>
              <w:spacing w:before="240"/>
              <w:jc w:val="center"/>
            </w:pPr>
            <w:r>
              <w:rPr>
                <w:rStyle w:val="cb1351681"/>
              </w:rPr>
              <w:t>7.</w:t>
            </w:r>
          </w:p>
          <w:p>
            <w:pPr>
              <w:pStyle w:val="NormalWeb"/>
              <w:spacing w:after="240"/>
              <w:jc w:val="center"/>
              <w:rPr>
                <w:rFonts w:ascii="Arial" w:hAnsi="Arial" w:cs="Arial"/>
              </w:rPr>
            </w:pPr>
            <w:r>
              <w:rPr>
                <w:rStyle w:val="cb1351681"/>
              </w:rPr>
              <w:lastRenderedPageBreak/>
              <w:t>GEHEIMHALTUNG</w:t>
            </w:r>
          </w:p>
        </w:tc>
        <w:tc>
          <w:tcPr>
            <w:tcW w:w="4644" w:type="dxa"/>
          </w:tcPr>
          <w:p>
            <w:pPr>
              <w:pStyle w:val="NormalWeb"/>
              <w:spacing w:before="240" w:after="240"/>
              <w:rPr>
                <w:rFonts w:ascii="Arial" w:hAnsi="Arial" w:cs="Arial"/>
              </w:rPr>
            </w:pPr>
            <w:r>
              <w:rPr>
                <w:rStyle w:val="normal16"/>
              </w:rPr>
              <w:lastRenderedPageBreak/>
              <w:t xml:space="preserve">Vertraulichkeitsvereinbarungen können wissenschaftliche Publikationen </w:t>
            </w:r>
            <w:r>
              <w:rPr>
                <w:rStyle w:val="normal16"/>
              </w:rPr>
              <w:lastRenderedPageBreak/>
              <w:t xml:space="preserve">einschränken. Dies gilt es zu bedenken, wenn in Bezug auf den Gegenstand eines </w:t>
            </w:r>
            <w:proofErr w:type="spellStart"/>
            <w:r>
              <w:rPr>
                <w:rStyle w:val="normal16"/>
              </w:rPr>
              <w:t>MTAs</w:t>
            </w:r>
            <w:proofErr w:type="spellEnd"/>
            <w:r>
              <w:rPr>
                <w:rStyle w:val="normal16"/>
              </w:rPr>
              <w:t xml:space="preserve"> Publikationstätigkeit angedacht ist. Es sind dann entsprechende Ausnahmen zu der Geheimhaltungsverpflichtung zu gestalten.</w:t>
            </w:r>
          </w:p>
        </w:tc>
      </w:tr>
      <w:tr>
        <w:tc>
          <w:tcPr>
            <w:tcW w:w="4644" w:type="dxa"/>
          </w:tcPr>
          <w:p>
            <w:pPr>
              <w:pStyle w:val="NormalWeb"/>
              <w:spacing w:before="240" w:after="240"/>
            </w:pPr>
            <w:r>
              <w:rPr>
                <w:rStyle w:val="normal15"/>
              </w:rPr>
              <w:lastRenderedPageBreak/>
              <w:t xml:space="preserve">7.1. Die </w:t>
            </w:r>
            <w:r>
              <w:rPr>
                <w:rStyle w:val="cb1351671"/>
              </w:rPr>
              <w:t>übernehmende Partei</w:t>
            </w:r>
            <w:r>
              <w:rPr>
                <w:rStyle w:val="normal15"/>
              </w:rPr>
              <w:t xml:space="preserve"> verpflichtet sich, alle mit dem </w:t>
            </w:r>
            <w:r>
              <w:rPr>
                <w:rStyle w:val="cb1351671"/>
              </w:rPr>
              <w:t>Material</w:t>
            </w:r>
            <w:r>
              <w:rPr>
                <w:rStyle w:val="normal15"/>
              </w:rPr>
              <w:t xml:space="preserve"> zusammenhängenden Informationen und, vorbehaltlich Punkt 6., alle mit dem </w:t>
            </w:r>
            <w:r>
              <w:rPr>
                <w:rStyle w:val="cb1351671"/>
              </w:rPr>
              <w:t>Material</w:t>
            </w:r>
            <w:r>
              <w:rPr>
                <w:rStyle w:val="normal15"/>
              </w:rPr>
              <w:t xml:space="preserve"> zusammenhängenden </w:t>
            </w:r>
            <w:r>
              <w:rPr>
                <w:rStyle w:val="cb1351671"/>
              </w:rPr>
              <w:t>Ergebnisse</w:t>
            </w:r>
            <w:r>
              <w:rPr>
                <w:rStyle w:val="normal15"/>
              </w:rPr>
              <w:t xml:space="preserve"> während der gesamten Laufzeit der </w:t>
            </w:r>
            <w:r>
              <w:rPr>
                <w:rStyle w:val="cb1351671"/>
              </w:rPr>
              <w:t>Vereinbarung</w:t>
            </w:r>
            <w:r>
              <w:rPr>
                <w:rStyle w:val="normal15"/>
              </w:rPr>
              <w:t xml:space="preserve"> und für einen daran anschließenden Zeitraum von </w:t>
            </w:r>
            <w:r>
              <w:rPr>
                <w:rStyle w:val="cb1351691"/>
              </w:rPr>
              <w:t>____</w:t>
            </w:r>
            <w:r>
              <w:rPr>
                <w:rStyle w:val="normal15"/>
              </w:rPr>
              <w:t>(</w:t>
            </w:r>
            <w:r>
              <w:rPr>
                <w:rStyle w:val="cb1351711"/>
              </w:rPr>
              <w:t>z.B. 3 (drei) Jahren</w:t>
            </w:r>
            <w:r>
              <w:rPr>
                <w:rStyle w:val="normal15"/>
              </w:rPr>
              <w:t>) geheim zu halten; ausgenommen von dieser Geheimhaltungsverpflichtung sind jene Informationen, die nachweislich</w:t>
            </w:r>
          </w:p>
          <w:p>
            <w:pPr>
              <w:pStyle w:val="NormalWeb"/>
              <w:spacing w:before="240" w:after="240"/>
            </w:pPr>
            <w:r>
              <w:rPr>
                <w:rStyle w:val="normal15"/>
              </w:rPr>
              <w:t xml:space="preserve">(a) bereits öffentlich bekannt waren, bevor sie der </w:t>
            </w:r>
            <w:r>
              <w:rPr>
                <w:rStyle w:val="cb1351671"/>
              </w:rPr>
              <w:t>übernehmenden Partei</w:t>
            </w:r>
            <w:r>
              <w:rPr>
                <w:rStyle w:val="normal15"/>
              </w:rPr>
              <w:t xml:space="preserve"> zur Verfügung gestellt wurden, oder danach - auf andere Weise als durch eine Verletzung dieser </w:t>
            </w:r>
            <w:r>
              <w:rPr>
                <w:rStyle w:val="cb1351671"/>
              </w:rPr>
              <w:t>Vereinbarung</w:t>
            </w:r>
            <w:r>
              <w:rPr>
                <w:rStyle w:val="normal15"/>
              </w:rPr>
              <w:t xml:space="preserve"> durch die </w:t>
            </w:r>
            <w:r>
              <w:rPr>
                <w:rStyle w:val="cb1351671"/>
              </w:rPr>
              <w:t>übernehmende Partei</w:t>
            </w:r>
            <w:r>
              <w:rPr>
                <w:rStyle w:val="normal15"/>
              </w:rPr>
              <w:t xml:space="preserve"> - öffentlich bekannt wurden;</w:t>
            </w:r>
          </w:p>
          <w:p>
            <w:pPr>
              <w:pStyle w:val="NormalWeb"/>
              <w:spacing w:before="240" w:after="240"/>
            </w:pPr>
            <w:r>
              <w:rPr>
                <w:rStyle w:val="normal15"/>
              </w:rPr>
              <w:t xml:space="preserve">(b) der </w:t>
            </w:r>
            <w:r>
              <w:rPr>
                <w:rStyle w:val="cb1351671"/>
              </w:rPr>
              <w:t>übernehmenden Partei</w:t>
            </w:r>
            <w:r>
              <w:rPr>
                <w:rStyle w:val="normal15"/>
              </w:rPr>
              <w:t xml:space="preserve"> vor der Bereitstellung des </w:t>
            </w:r>
            <w:r>
              <w:rPr>
                <w:rStyle w:val="cb1351671"/>
              </w:rPr>
              <w:t>Materials</w:t>
            </w:r>
            <w:r>
              <w:rPr>
                <w:rStyle w:val="normal15"/>
              </w:rPr>
              <w:t xml:space="preserve"> bekannt waren;</w:t>
            </w:r>
          </w:p>
          <w:p>
            <w:pPr>
              <w:pStyle w:val="NormalWeb"/>
              <w:spacing w:before="240" w:after="240"/>
            </w:pPr>
            <w:r>
              <w:rPr>
                <w:rStyle w:val="normal15"/>
              </w:rPr>
              <w:t xml:space="preserve">(c) der </w:t>
            </w:r>
            <w:r>
              <w:rPr>
                <w:rStyle w:val="cb1351671"/>
              </w:rPr>
              <w:t>übernehmenden Partei</w:t>
            </w:r>
            <w:r>
              <w:rPr>
                <w:rStyle w:val="normal15"/>
              </w:rPr>
              <w:t xml:space="preserve"> seitens eines </w:t>
            </w:r>
            <w:r>
              <w:rPr>
                <w:rStyle w:val="cb1351671"/>
              </w:rPr>
              <w:t>Dritten</w:t>
            </w:r>
            <w:r>
              <w:rPr>
                <w:rStyle w:val="normal15"/>
              </w:rPr>
              <w:t xml:space="preserve"> zugegangen sind, der die relevante(n) Information(en) selbst rechtmäßig und ohne Verletzung dieser </w:t>
            </w:r>
            <w:r>
              <w:rPr>
                <w:rStyle w:val="cb1351671"/>
              </w:rPr>
              <w:t>Vereinbarung</w:t>
            </w:r>
            <w:r>
              <w:rPr>
                <w:rStyle w:val="normal15"/>
              </w:rPr>
              <w:t xml:space="preserve"> erhalten hat;</w:t>
            </w:r>
          </w:p>
          <w:p>
            <w:pPr>
              <w:pStyle w:val="NormalWeb"/>
              <w:spacing w:before="240" w:after="240"/>
            </w:pPr>
            <w:r>
              <w:rPr>
                <w:rStyle w:val="normal15"/>
              </w:rPr>
              <w:t xml:space="preserve">(d) vom Personal der </w:t>
            </w:r>
            <w:r>
              <w:rPr>
                <w:rStyle w:val="cb1351671"/>
              </w:rPr>
              <w:t>übernehmenden Partei</w:t>
            </w:r>
            <w:r>
              <w:rPr>
                <w:rStyle w:val="normal15"/>
              </w:rPr>
              <w:t xml:space="preserve"> ohne Zugriff auf die Informationen oder das </w:t>
            </w:r>
            <w:r>
              <w:rPr>
                <w:rStyle w:val="cb1351671"/>
              </w:rPr>
              <w:t>Material</w:t>
            </w:r>
            <w:r>
              <w:rPr>
                <w:rStyle w:val="normal15"/>
              </w:rPr>
              <w:t xml:space="preserve"> unabhängig entwickelt wurden. </w:t>
            </w:r>
          </w:p>
          <w:p>
            <w:pPr>
              <w:pStyle w:val="NormalWeb"/>
              <w:spacing w:before="240" w:after="240"/>
            </w:pPr>
            <w:r>
              <w:rPr>
                <w:rStyle w:val="normal15"/>
              </w:rPr>
              <w:t xml:space="preserve">Die </w:t>
            </w:r>
            <w:r>
              <w:rPr>
                <w:rStyle w:val="cb1351671"/>
              </w:rPr>
              <w:t>übernehmende Partei</w:t>
            </w:r>
            <w:r>
              <w:rPr>
                <w:rStyle w:val="normal15"/>
              </w:rPr>
              <w:t xml:space="preserve"> ist dafür verantwortlich, den entsprechenden Nachweis zu erbringen.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5"/>
              </w:rPr>
              <w:t>7.2. Veröffentlichungen im Sinne von Punkt 7. stellen keine Verletzung dieser Verpflichtung zur Wahrung der Vertraulichkeit dar.</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5"/>
              </w:rPr>
              <w:t xml:space="preserve">7.3. Mit dem </w:t>
            </w:r>
            <w:r>
              <w:rPr>
                <w:rStyle w:val="cb1351671"/>
              </w:rPr>
              <w:t>Material</w:t>
            </w:r>
            <w:r>
              <w:rPr>
                <w:rStyle w:val="normal15"/>
              </w:rPr>
              <w:t xml:space="preserve"> zusammenhängende Informationen dürfen nur gegenüber solchen Personen offengelegt werden, die intern (als </w:t>
            </w:r>
            <w:proofErr w:type="spellStart"/>
            <w:r>
              <w:rPr>
                <w:rStyle w:val="normal15"/>
              </w:rPr>
              <w:t>MitarbeiterInnen</w:t>
            </w:r>
            <w:proofErr w:type="spellEnd"/>
            <w:r>
              <w:rPr>
                <w:rStyle w:val="normal15"/>
              </w:rPr>
              <w:t xml:space="preserve">) oder extern (als Berater) in </w:t>
            </w:r>
            <w:r>
              <w:rPr>
                <w:rStyle w:val="normal15"/>
              </w:rPr>
              <w:lastRenderedPageBreak/>
              <w:t xml:space="preserve">Bezug auf den </w:t>
            </w:r>
            <w:r>
              <w:rPr>
                <w:rStyle w:val="cb1351671"/>
              </w:rPr>
              <w:t>Zweck</w:t>
            </w:r>
            <w:r>
              <w:rPr>
                <w:rStyle w:val="normal15"/>
              </w:rPr>
              <w:t xml:space="preserve"> davon Kenntnis haben müssen und hinsichtlich ihres Zugangs zum </w:t>
            </w:r>
            <w:r>
              <w:rPr>
                <w:rStyle w:val="cb1351671"/>
              </w:rPr>
              <w:t>Material</w:t>
            </w:r>
            <w:r>
              <w:rPr>
                <w:rStyle w:val="normal15"/>
              </w:rPr>
              <w:t xml:space="preserve"> ähnlichen Geheimhaltungsverpflichtungen und Verwendungsbeschränkungen wie jenen unterliegen, die in dieser </w:t>
            </w:r>
            <w:r>
              <w:rPr>
                <w:rStyle w:val="cb1351671"/>
              </w:rPr>
              <w:t>Vereinbarung</w:t>
            </w:r>
            <w:r>
              <w:rPr>
                <w:rStyle w:val="normal15"/>
              </w:rPr>
              <w:t xml:space="preserve"> enthalten sind.</w:t>
            </w:r>
          </w:p>
        </w:tc>
        <w:tc>
          <w:tcPr>
            <w:tcW w:w="4644" w:type="dxa"/>
          </w:tcPr>
          <w:p>
            <w:pPr>
              <w:rPr>
                <w:rFonts w:ascii="Arial" w:hAnsi="Arial" w:cs="Arial"/>
              </w:rPr>
            </w:pPr>
          </w:p>
        </w:tc>
      </w:tr>
      <w:tr>
        <w:tc>
          <w:tcPr>
            <w:tcW w:w="4644" w:type="dxa"/>
          </w:tcPr>
          <w:p>
            <w:pPr>
              <w:pStyle w:val="NormalWeb"/>
              <w:spacing w:before="240" w:after="240"/>
            </w:pPr>
            <w:r>
              <w:rPr>
                <w:rStyle w:val="normal15"/>
              </w:rPr>
              <w:lastRenderedPageBreak/>
              <w:t xml:space="preserve">7.4. Die </w:t>
            </w:r>
            <w:r>
              <w:rPr>
                <w:rStyle w:val="cb1351671"/>
              </w:rPr>
              <w:t>Parteien</w:t>
            </w:r>
            <w:r>
              <w:rPr>
                <w:rStyle w:val="normal15"/>
              </w:rPr>
              <w:t xml:space="preserve"> erkennen an, dass die regelmäßige Veröffentlichung von Informationen über die Art, den Gegenstand und die </w:t>
            </w:r>
            <w:r>
              <w:rPr>
                <w:rStyle w:val="cb1351671"/>
              </w:rPr>
              <w:t>Ergebnisse</w:t>
            </w:r>
            <w:r>
              <w:rPr>
                <w:rStyle w:val="normal15"/>
              </w:rPr>
              <w:t xml:space="preserve"> der Forschungstätigkeiten eine wesentliche Aufgabe seitens eines Forschungsinstituts darstellt.</w:t>
            </w:r>
          </w:p>
          <w:p>
            <w:pPr>
              <w:pStyle w:val="NormalWeb"/>
              <w:spacing w:before="240" w:after="240"/>
            </w:pPr>
            <w:r>
              <w:rPr>
                <w:rStyle w:val="normal15"/>
              </w:rPr>
              <w:t xml:space="preserve">Ungeachtet der obigen Geheimhaltungsbestimmungen haben die </w:t>
            </w:r>
            <w:r>
              <w:rPr>
                <w:rStyle w:val="cb1351671"/>
              </w:rPr>
              <w:t>Parteien</w:t>
            </w:r>
            <w:r>
              <w:rPr>
                <w:rStyle w:val="normal15"/>
              </w:rPr>
              <w:t xml:space="preserve"> nach Maßgabe der folgenden Bestimmungen das Recht, in Form akademischer Veröffentlichungen unabhängig über die </w:t>
            </w:r>
            <w:r>
              <w:rPr>
                <w:rStyle w:val="cb1351671"/>
              </w:rPr>
              <w:t>Ergebnisse</w:t>
            </w:r>
            <w:r>
              <w:rPr>
                <w:rStyle w:val="normal15"/>
              </w:rPr>
              <w:t xml:space="preserve"> zu publizieren. Die jeweilige </w:t>
            </w:r>
            <w:r>
              <w:rPr>
                <w:rStyle w:val="cb1351671"/>
              </w:rPr>
              <w:t>Partei</w:t>
            </w:r>
            <w:r>
              <w:rPr>
                <w:rStyle w:val="normal15"/>
              </w:rPr>
              <w:t xml:space="preserve"> benachrichtigt die andere </w:t>
            </w:r>
            <w:r>
              <w:rPr>
                <w:rStyle w:val="cb1351671"/>
              </w:rPr>
              <w:t>Partei</w:t>
            </w:r>
            <w:r>
              <w:rPr>
                <w:rStyle w:val="normal15"/>
              </w:rPr>
              <w:t xml:space="preserve"> schriftlich von der geplanten Veröffentlichung. Wenn sich die andere </w:t>
            </w:r>
            <w:r>
              <w:rPr>
                <w:rStyle w:val="cb1351671"/>
              </w:rPr>
              <w:t>Partei</w:t>
            </w:r>
            <w:r>
              <w:rPr>
                <w:rStyle w:val="normal15"/>
              </w:rPr>
              <w:t xml:space="preserve"> nicht innerhalb eines Zeitraums von </w:t>
            </w:r>
            <w:r>
              <w:rPr>
                <w:rStyle w:val="cb1351691"/>
              </w:rPr>
              <w:t>____</w:t>
            </w:r>
            <w:r>
              <w:rPr>
                <w:rStyle w:val="normal15"/>
              </w:rPr>
              <w:t>(</w:t>
            </w:r>
            <w:r>
              <w:rPr>
                <w:rStyle w:val="cb1351711"/>
              </w:rPr>
              <w:t>z.B. 2 (zwei)</w:t>
            </w:r>
            <w:r>
              <w:rPr>
                <w:rStyle w:val="normal15"/>
              </w:rPr>
              <w:t>) Wochen ab Eingang der schriftlichen Benachrichtigung über die geplante Veröffentlichung [</w:t>
            </w:r>
            <w:r>
              <w:rPr>
                <w:rStyle w:val="cb1351721"/>
              </w:rPr>
              <w:t>E-Mail gilt als ausreichend</w:t>
            </w:r>
            <w:r>
              <w:rPr>
                <w:rStyle w:val="normal15"/>
              </w:rPr>
              <w:t xml:space="preserve">] dazu äußert, gilt nach Ablauf des </w:t>
            </w:r>
            <w:r>
              <w:rPr>
                <w:rStyle w:val="cb1351691"/>
              </w:rPr>
              <w:t>____</w:t>
            </w:r>
            <w:r>
              <w:rPr>
                <w:rStyle w:val="normal15"/>
              </w:rPr>
              <w:t>(</w:t>
            </w:r>
            <w:r>
              <w:rPr>
                <w:rStyle w:val="cb1351711"/>
              </w:rPr>
              <w:t>z.B. 2 (zwei)-</w:t>
            </w:r>
            <w:r>
              <w:rPr>
                <w:rStyle w:val="normal15"/>
              </w:rPr>
              <w:t xml:space="preserve">)wöchigen Zeitraums die Zustimmung zu der jeweiligen Veröffentlichung als erteilt. Wenn die andere </w:t>
            </w:r>
            <w:r>
              <w:rPr>
                <w:rStyle w:val="cb1351671"/>
              </w:rPr>
              <w:t>Partei</w:t>
            </w:r>
            <w:r>
              <w:rPr>
                <w:rStyle w:val="normal15"/>
              </w:rPr>
              <w:t xml:space="preserve"> innerhalb von </w:t>
            </w:r>
            <w:r>
              <w:rPr>
                <w:rStyle w:val="cb1351691"/>
              </w:rPr>
              <w:t>______</w:t>
            </w:r>
            <w:r>
              <w:rPr>
                <w:rStyle w:val="normal15"/>
              </w:rPr>
              <w:t>(</w:t>
            </w:r>
            <w:r>
              <w:rPr>
                <w:rStyle w:val="cb1351711"/>
              </w:rPr>
              <w:t>z.B. 2 (zwei) Wochen</w:t>
            </w:r>
            <w:r>
              <w:rPr>
                <w:rStyle w:val="normal15"/>
              </w:rPr>
              <w:t xml:space="preserve">) schriftlich wohlbegründete Einwände erhebt und Änderungen vorschlägt, wird sich die betroffene </w:t>
            </w:r>
            <w:r>
              <w:rPr>
                <w:rStyle w:val="cb1351671"/>
              </w:rPr>
              <w:t>Partei</w:t>
            </w:r>
            <w:r>
              <w:rPr>
                <w:rStyle w:val="normal15"/>
              </w:rPr>
              <w:t xml:space="preserve"> unverzüglich um eine gemeinsame Lösung bemühen, die diese wohlbegründeten Einwände berücksichtigt (z.B. unverzügliche Registrierung eines </w:t>
            </w:r>
            <w:proofErr w:type="spellStart"/>
            <w:r>
              <w:rPr>
                <w:rStyle w:val="cb1351671"/>
              </w:rPr>
              <w:t>IP</w:t>
            </w:r>
            <w:proofErr w:type="spellEnd"/>
            <w:r>
              <w:rPr>
                <w:rStyle w:val="cb1351671"/>
              </w:rPr>
              <w:t>-Rechts</w:t>
            </w:r>
            <w:r>
              <w:rPr>
                <w:rStyle w:val="normal15"/>
              </w:rPr>
              <w:t xml:space="preserve">, Anpassung des Inhalts der Veröffentlichung, Sperre von Diplom- bzw. Masterarbeiten oder Dissertationen). Nach Ablauf eines Zeitraums von </w:t>
            </w:r>
            <w:r>
              <w:rPr>
                <w:rStyle w:val="cb1351691"/>
              </w:rPr>
              <w:t>____</w:t>
            </w:r>
            <w:r>
              <w:rPr>
                <w:rStyle w:val="normal15"/>
              </w:rPr>
              <w:t>(</w:t>
            </w:r>
            <w:r>
              <w:rPr>
                <w:rStyle w:val="cb1351711"/>
              </w:rPr>
              <w:t>z.B. 3 (drei)</w:t>
            </w:r>
            <w:r>
              <w:rPr>
                <w:rStyle w:val="normal15"/>
              </w:rPr>
              <w:t>) Monaten ab Kenntnis der Einwände kann die Veröffentlichung jedenfalls publiziert werden.</w:t>
            </w:r>
          </w:p>
          <w:p>
            <w:pPr>
              <w:pStyle w:val="NormalWeb"/>
              <w:spacing w:before="240" w:after="240"/>
            </w:pPr>
            <w:r>
              <w:rPr>
                <w:rStyle w:val="normal15"/>
              </w:rPr>
              <w:t xml:space="preserve">Angesichts der berechtigten Interessen an akademischen Publikationen sollten die Registrierung von </w:t>
            </w:r>
            <w:r>
              <w:rPr>
                <w:rStyle w:val="cb1351671"/>
              </w:rPr>
              <w:t>Immaterialgüterrechten</w:t>
            </w:r>
            <w:r>
              <w:rPr>
                <w:rStyle w:val="normal15"/>
              </w:rPr>
              <w:t xml:space="preserve"> und der Aufgriff von Dienstnehmererfindungen zeitgerecht vor der Veröffentlichung vorgenommen werden. </w:t>
            </w:r>
          </w:p>
          <w:p>
            <w:pPr>
              <w:pStyle w:val="NormalWeb"/>
              <w:spacing w:before="240" w:after="240"/>
              <w:rPr>
                <w:rFonts w:ascii="Arial" w:hAnsi="Arial" w:cs="Arial"/>
              </w:rPr>
            </w:pPr>
            <w:r>
              <w:rPr>
                <w:rStyle w:val="normal15"/>
              </w:rPr>
              <w:t xml:space="preserve">Darüber hinaus verpflichtet sich die </w:t>
            </w:r>
            <w:r>
              <w:rPr>
                <w:rStyle w:val="cb1351671"/>
              </w:rPr>
              <w:lastRenderedPageBreak/>
              <w:t>übernehmende Partei</w:t>
            </w:r>
            <w:r>
              <w:rPr>
                <w:rStyle w:val="normal15"/>
              </w:rPr>
              <w:t xml:space="preserve">, in jeder Publikation oder Präsentation darauf hinzuweisen, dass das </w:t>
            </w:r>
            <w:r>
              <w:rPr>
                <w:rStyle w:val="cb1351671"/>
              </w:rPr>
              <w:t>Material</w:t>
            </w:r>
            <w:r>
              <w:rPr>
                <w:rStyle w:val="normal15"/>
              </w:rPr>
              <w:t xml:space="preserve"> von der </w:t>
            </w:r>
            <w:r>
              <w:rPr>
                <w:rStyle w:val="cb1351671"/>
              </w:rPr>
              <w:t>übertragenden Partei</w:t>
            </w:r>
            <w:r>
              <w:rPr>
                <w:rStyle w:val="normal15"/>
              </w:rPr>
              <w:t xml:space="preserve"> bereitgestellt wurde[</w:t>
            </w:r>
            <w:r>
              <w:rPr>
                <w:rStyle w:val="cb1351721"/>
              </w:rPr>
              <w:t xml:space="preserve"> und die </w:t>
            </w:r>
            <w:proofErr w:type="spellStart"/>
            <w:r>
              <w:rPr>
                <w:rStyle w:val="cb1351721"/>
              </w:rPr>
              <w:t>MitarbeiterInnen</w:t>
            </w:r>
            <w:proofErr w:type="spellEnd"/>
            <w:r>
              <w:rPr>
                <w:rStyle w:val="cb1351721"/>
              </w:rPr>
              <w:t xml:space="preserve"> der </w:t>
            </w:r>
            <w:r>
              <w:rPr>
                <w:rStyle w:val="cb1351731"/>
              </w:rPr>
              <w:t>übertragenden Partei</w:t>
            </w:r>
            <w:r>
              <w:rPr>
                <w:rStyle w:val="cb1351721"/>
              </w:rPr>
              <w:t xml:space="preserve"> zu erwähnen, die zu den </w:t>
            </w:r>
            <w:r>
              <w:rPr>
                <w:rStyle w:val="cb1351731"/>
              </w:rPr>
              <w:t>Ergebnissen</w:t>
            </w:r>
            <w:r>
              <w:rPr>
                <w:rStyle w:val="cb1351721"/>
              </w:rPr>
              <w:t xml:space="preserve"> und/oder dem </w:t>
            </w:r>
            <w:r>
              <w:rPr>
                <w:rStyle w:val="cb1351731"/>
              </w:rPr>
              <w:t>Material</w:t>
            </w:r>
            <w:r>
              <w:rPr>
                <w:rStyle w:val="cb1351721"/>
              </w:rPr>
              <w:t xml:space="preserve"> beigetragen haben</w:t>
            </w:r>
            <w:r>
              <w:rPr>
                <w:rStyle w:val="normal15"/>
              </w:rPr>
              <w:t>].</w:t>
            </w:r>
          </w:p>
        </w:tc>
        <w:tc>
          <w:tcPr>
            <w:tcW w:w="4644" w:type="dxa"/>
          </w:tcPr>
          <w:p>
            <w:pPr>
              <w:rPr>
                <w:rFonts w:ascii="Arial" w:hAnsi="Arial" w:cs="Arial"/>
              </w:rPr>
            </w:pPr>
          </w:p>
        </w:tc>
      </w:tr>
      <w:tr>
        <w:tc>
          <w:tcPr>
            <w:tcW w:w="4644" w:type="dxa"/>
          </w:tcPr>
          <w:p>
            <w:pPr>
              <w:pStyle w:val="NormalWeb"/>
              <w:spacing w:before="240"/>
              <w:jc w:val="center"/>
            </w:pPr>
            <w:r>
              <w:rPr>
                <w:rStyle w:val="c293a4791"/>
              </w:rPr>
              <w:lastRenderedPageBreak/>
              <w:t>8.</w:t>
            </w:r>
          </w:p>
          <w:p>
            <w:pPr>
              <w:pStyle w:val="NormalWeb"/>
              <w:spacing w:after="240"/>
              <w:rPr>
                <w:rFonts w:ascii="Arial" w:hAnsi="Arial" w:cs="Arial"/>
              </w:rPr>
            </w:pPr>
            <w:r>
              <w:rPr>
                <w:rStyle w:val="c293a4791"/>
              </w:rPr>
              <w:t>GEWÄHRLEISTUNG UND HAFTUNG</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7"/>
              </w:rPr>
              <w:t xml:space="preserve">8.1. Das </w:t>
            </w:r>
            <w:r>
              <w:rPr>
                <w:rStyle w:val="c293a4781"/>
              </w:rPr>
              <w:t>Material</w:t>
            </w:r>
            <w:r>
              <w:rPr>
                <w:rStyle w:val="normal17"/>
              </w:rPr>
              <w:t xml:space="preserve"> ist Material experimenteller Art und wird in der vorliegenden Form so wie es ist ohne Gewährleistungen und Garantien bereitgestellt; soweit in dieser </w:t>
            </w:r>
            <w:r>
              <w:rPr>
                <w:rStyle w:val="c293a4781"/>
              </w:rPr>
              <w:t>Vereinbarung</w:t>
            </w:r>
            <w:r>
              <w:rPr>
                <w:rStyle w:val="normal17"/>
              </w:rPr>
              <w:t xml:space="preserve"> nicht ausdrücklich etwas anderes bestimmt wird, bestehen insbesondere keine Gewährleistungszusagen bzw. Garantien bezüglich der Marktfähigkeit oder Eignung für einen bestimmten Zweck oder dahingehend, dass durch die Nutzung des </w:t>
            </w:r>
            <w:r>
              <w:rPr>
                <w:rStyle w:val="c293a4781"/>
              </w:rPr>
              <w:t>Materials</w:t>
            </w:r>
            <w:r>
              <w:rPr>
                <w:rStyle w:val="normal17"/>
              </w:rPr>
              <w:t xml:space="preserve"> nicht gegen </w:t>
            </w:r>
            <w:r>
              <w:rPr>
                <w:rStyle w:val="c293a4781"/>
              </w:rPr>
              <w:t>Immaterialgüterrechte</w:t>
            </w:r>
            <w:r>
              <w:rPr>
                <w:rStyle w:val="normal17"/>
              </w:rPr>
              <w:t xml:space="preserve"> </w:t>
            </w:r>
            <w:r>
              <w:rPr>
                <w:rStyle w:val="c293a4781"/>
              </w:rPr>
              <w:t>Dritter</w:t>
            </w:r>
            <w:r>
              <w:rPr>
                <w:rStyle w:val="normal17"/>
              </w:rPr>
              <w:t xml:space="preserve"> verstoßen wird [</w:t>
            </w:r>
            <w:r>
              <w:rPr>
                <w:rStyle w:val="c293a4801"/>
              </w:rPr>
              <w:t xml:space="preserve">und die </w:t>
            </w:r>
            <w:r>
              <w:rPr>
                <w:rStyle w:val="c293a4811"/>
              </w:rPr>
              <w:t>übertragende Partei</w:t>
            </w:r>
            <w:r>
              <w:rPr>
                <w:rStyle w:val="c293a4801"/>
              </w:rPr>
              <w:t xml:space="preserve"> gewährleistet oder garantiert auch nicht, dass das </w:t>
            </w:r>
            <w:r>
              <w:rPr>
                <w:rStyle w:val="c293a4811"/>
              </w:rPr>
              <w:t>Material</w:t>
            </w:r>
            <w:r>
              <w:rPr>
                <w:rStyle w:val="c293a4801"/>
              </w:rPr>
              <w:t xml:space="preserve"> oder die </w:t>
            </w:r>
            <w:r>
              <w:rPr>
                <w:rStyle w:val="c293a4811"/>
              </w:rPr>
              <w:t>Modifikationen</w:t>
            </w:r>
            <w:r>
              <w:rPr>
                <w:rStyle w:val="c293a4801"/>
              </w:rPr>
              <w:t xml:space="preserve"> keine Gefahr für die Sicherheit oder Gesundheit darstellt/darstellen</w:t>
            </w:r>
            <w:r>
              <w:rPr>
                <w:rStyle w:val="normal17"/>
              </w:rPr>
              <w:t>].</w:t>
            </w:r>
          </w:p>
        </w:tc>
        <w:tc>
          <w:tcPr>
            <w:tcW w:w="4644" w:type="dxa"/>
          </w:tcPr>
          <w:p>
            <w:pPr>
              <w:pStyle w:val="NormalWeb"/>
              <w:spacing w:before="240" w:after="240"/>
              <w:rPr>
                <w:rFonts w:ascii="Arial" w:hAnsi="Arial" w:cs="Arial"/>
              </w:rPr>
            </w:pPr>
            <w:r>
              <w:rPr>
                <w:rStyle w:val="normal18"/>
              </w:rPr>
              <w:t>Es ist zu beachten, dass die Gewährleistungs- und Haftungsbestimmungen im Rahmen an diese Vereinbarung anschließende weitere Nutzungsvereinbarungen allenfalls anders zu gestalten sind (z.B. Schad- und Klagloshaltung für Inanspruchnahme durch Dritte).</w:t>
            </w:r>
          </w:p>
        </w:tc>
      </w:tr>
      <w:tr>
        <w:tc>
          <w:tcPr>
            <w:tcW w:w="4644" w:type="dxa"/>
          </w:tcPr>
          <w:p>
            <w:pPr>
              <w:pStyle w:val="NormalWeb"/>
              <w:spacing w:before="240" w:after="240"/>
              <w:rPr>
                <w:rFonts w:ascii="Arial" w:hAnsi="Arial" w:cs="Arial"/>
              </w:rPr>
            </w:pPr>
            <w:r>
              <w:rPr>
                <w:rStyle w:val="normal17"/>
              </w:rPr>
              <w:t xml:space="preserve">8.2. Für Schäden oder Forderungen aufgrund der Erfüllung dieser </w:t>
            </w:r>
            <w:r>
              <w:rPr>
                <w:rStyle w:val="c293a4781"/>
              </w:rPr>
              <w:t>Vereinbarung</w:t>
            </w:r>
            <w:r>
              <w:rPr>
                <w:rStyle w:val="normal17"/>
              </w:rPr>
              <w:t xml:space="preserve"> durch die </w:t>
            </w:r>
            <w:r>
              <w:rPr>
                <w:rStyle w:val="c293a4781"/>
              </w:rPr>
              <w:t>übernehmende Partei</w:t>
            </w:r>
            <w:r>
              <w:rPr>
                <w:rStyle w:val="normal17"/>
              </w:rPr>
              <w:t xml:space="preserve"> und die </w:t>
            </w:r>
            <w:r>
              <w:rPr>
                <w:rStyle w:val="c293a4781"/>
              </w:rPr>
              <w:t>übertragende Partei</w:t>
            </w:r>
            <w:r>
              <w:rPr>
                <w:rStyle w:val="normal17"/>
              </w:rPr>
              <w:t xml:space="preserve">, insbesondere aufgrund Transport, Nutzung, Handhabung, Lagerung oder Offenlegung des </w:t>
            </w:r>
            <w:r>
              <w:rPr>
                <w:rStyle w:val="c293a4781"/>
              </w:rPr>
              <w:t>Materials</w:t>
            </w:r>
            <w:r>
              <w:rPr>
                <w:rStyle w:val="normal17"/>
              </w:rPr>
              <w:t xml:space="preserve">, von </w:t>
            </w:r>
            <w:r>
              <w:rPr>
                <w:rStyle w:val="c293a4781"/>
              </w:rPr>
              <w:t>Modifikationen</w:t>
            </w:r>
            <w:r>
              <w:rPr>
                <w:rStyle w:val="normal17"/>
              </w:rPr>
              <w:t xml:space="preserve"> und/oder der </w:t>
            </w:r>
            <w:r>
              <w:rPr>
                <w:rStyle w:val="c293a4781"/>
              </w:rPr>
              <w:t>Ergebnisse</w:t>
            </w:r>
            <w:r>
              <w:rPr>
                <w:rStyle w:val="normal17"/>
              </w:rPr>
              <w:t xml:space="preserve">, sind, soweit sie daran schuld sind und soweit diese Tätigkeit Bestandteil ihres maßgeblichen Aufgabengebiets ist, allein die </w:t>
            </w:r>
            <w:r>
              <w:rPr>
                <w:rStyle w:val="c293a4781"/>
              </w:rPr>
              <w:t>übernehmende Partei</w:t>
            </w:r>
            <w:r>
              <w:rPr>
                <w:rStyle w:val="normal17"/>
              </w:rPr>
              <w:t xml:space="preserve"> und die </w:t>
            </w:r>
            <w:r>
              <w:rPr>
                <w:rStyle w:val="c293a4781"/>
              </w:rPr>
              <w:t>übertragende Partei</w:t>
            </w:r>
            <w:r>
              <w:rPr>
                <w:rStyle w:val="normal17"/>
              </w:rPr>
              <w:t xml:space="preserve"> verantwortlich.</w:t>
            </w:r>
          </w:p>
        </w:tc>
        <w:tc>
          <w:tcPr>
            <w:tcW w:w="4644" w:type="dxa"/>
          </w:tcPr>
          <w:p>
            <w:pPr>
              <w:rPr>
                <w:rFonts w:ascii="Arial" w:hAnsi="Arial" w:cs="Arial"/>
              </w:rPr>
            </w:pPr>
          </w:p>
        </w:tc>
      </w:tr>
      <w:tr>
        <w:tc>
          <w:tcPr>
            <w:tcW w:w="4644" w:type="dxa"/>
          </w:tcPr>
          <w:p>
            <w:pPr>
              <w:pStyle w:val="NormalWeb"/>
              <w:spacing w:before="240" w:after="240"/>
            </w:pPr>
            <w:r>
              <w:rPr>
                <w:rStyle w:val="normal17"/>
              </w:rPr>
              <w:t>8.3. [</w:t>
            </w:r>
            <w:r>
              <w:rPr>
                <w:rStyle w:val="c293a4831"/>
              </w:rPr>
              <w:t>Option</w:t>
            </w:r>
            <w:r>
              <w:rPr>
                <w:rStyle w:val="normal17"/>
              </w:rPr>
              <w:t xml:space="preserve">: Die </w:t>
            </w:r>
            <w:r>
              <w:rPr>
                <w:rStyle w:val="c293a4781"/>
              </w:rPr>
              <w:t>übernehmende Partei</w:t>
            </w:r>
            <w:r>
              <w:rPr>
                <w:rStyle w:val="normal17"/>
              </w:rPr>
              <w:t xml:space="preserve"> hält die </w:t>
            </w:r>
            <w:r>
              <w:rPr>
                <w:rStyle w:val="c293a4781"/>
              </w:rPr>
              <w:t>übertragende Partei</w:t>
            </w:r>
            <w:r>
              <w:rPr>
                <w:rStyle w:val="normal17"/>
              </w:rPr>
              <w:t xml:space="preserve"> hinsichtlich aller aufgrund einer Handlung der </w:t>
            </w:r>
            <w:r>
              <w:rPr>
                <w:rStyle w:val="c293a4781"/>
              </w:rPr>
              <w:t>übernehmenden Partei</w:t>
            </w:r>
            <w:r>
              <w:rPr>
                <w:rStyle w:val="normal17"/>
              </w:rPr>
              <w:t xml:space="preserve"> entstandenen Schäden (außer bei Verschulden (Fahrlässigkeit oder Vorsatz) seitens der </w:t>
            </w:r>
            <w:r>
              <w:rPr>
                <w:rStyle w:val="c293a4781"/>
              </w:rPr>
              <w:t>übertragenden Partei</w:t>
            </w:r>
            <w:r>
              <w:rPr>
                <w:rStyle w:val="normal17"/>
              </w:rPr>
              <w:t xml:space="preserve">) bis zu einem Betrag in Höhe von EUR </w:t>
            </w:r>
            <w:r>
              <w:rPr>
                <w:rStyle w:val="c293a4841"/>
              </w:rPr>
              <w:t>____</w:t>
            </w:r>
            <w:r>
              <w:rPr>
                <w:rStyle w:val="normal17"/>
              </w:rPr>
              <w:t>(</w:t>
            </w:r>
            <w:r>
              <w:rPr>
                <w:rStyle w:val="c293a4861"/>
              </w:rPr>
              <w:t>Betragshöhe hinzufügen</w:t>
            </w:r>
            <w:r>
              <w:rPr>
                <w:rStyle w:val="normal17"/>
              </w:rPr>
              <w:t xml:space="preserve">) </w:t>
            </w:r>
            <w:proofErr w:type="spellStart"/>
            <w:r>
              <w:rPr>
                <w:rStyle w:val="normal17"/>
              </w:rPr>
              <w:lastRenderedPageBreak/>
              <w:t>schad</w:t>
            </w:r>
            <w:proofErr w:type="spellEnd"/>
            <w:r>
              <w:rPr>
                <w:rStyle w:val="normal17"/>
              </w:rPr>
              <w:t>- und klaglos.]</w:t>
            </w:r>
          </w:p>
          <w:p>
            <w:pPr>
              <w:pStyle w:val="NormalWeb"/>
              <w:spacing w:before="240" w:after="240"/>
              <w:rPr>
                <w:rFonts w:ascii="Arial" w:hAnsi="Arial" w:cs="Arial"/>
              </w:rPr>
            </w:pPr>
            <w:r>
              <w:rPr>
                <w:rStyle w:val="normal17"/>
              </w:rPr>
              <w:t>Eine Haftung [</w:t>
            </w:r>
            <w:r>
              <w:rPr>
                <w:rStyle w:val="c293a4801"/>
              </w:rPr>
              <w:t xml:space="preserve">der </w:t>
            </w:r>
            <w:r>
              <w:rPr>
                <w:rStyle w:val="c293a4811"/>
              </w:rPr>
              <w:t>übertragenden Partei</w:t>
            </w:r>
            <w:r>
              <w:rPr>
                <w:rStyle w:val="c293a4801"/>
              </w:rPr>
              <w:t xml:space="preserve"> / </w:t>
            </w:r>
            <w:r>
              <w:rPr>
                <w:rStyle w:val="c293a4811"/>
              </w:rPr>
              <w:t>übernehmenden Partei</w:t>
            </w:r>
            <w:r>
              <w:rPr>
                <w:rStyle w:val="normal17"/>
              </w:rPr>
              <w:t>](</w:t>
            </w:r>
            <w:r>
              <w:rPr>
                <w:rStyle w:val="c293a4861"/>
              </w:rPr>
              <w:t>Alternative wählen</w:t>
            </w:r>
            <w:r>
              <w:rPr>
                <w:rStyle w:val="normal17"/>
              </w:rPr>
              <w:t xml:space="preserve">) für leichte Fahrlässigkeit, </w:t>
            </w:r>
            <w:proofErr w:type="spellStart"/>
            <w:r>
              <w:rPr>
                <w:rStyle w:val="normal17"/>
              </w:rPr>
              <w:t>Gewinnentgang</w:t>
            </w:r>
            <w:proofErr w:type="spellEnd"/>
            <w:r>
              <w:rPr>
                <w:rStyle w:val="normal17"/>
              </w:rPr>
              <w:t xml:space="preserve"> und indirekte Schäden ist - mit Ausnahme von Personenschäden - jedenfalls ausgeschlossen. Grundsätzlich ist die Haftung auf einen Höchstbetrag von EUR </w:t>
            </w:r>
            <w:r>
              <w:rPr>
                <w:rStyle w:val="c293a4841"/>
              </w:rPr>
              <w:t>____</w:t>
            </w:r>
            <w:r>
              <w:rPr>
                <w:rStyle w:val="normal17"/>
              </w:rPr>
              <w:t>(</w:t>
            </w:r>
            <w:r>
              <w:rPr>
                <w:rStyle w:val="c293a4861"/>
              </w:rPr>
              <w:t>Betragshöhe hinzufügen</w:t>
            </w:r>
            <w:r>
              <w:rPr>
                <w:rStyle w:val="normal17"/>
              </w:rPr>
              <w:t>) beschränkt.</w:t>
            </w:r>
          </w:p>
        </w:tc>
        <w:tc>
          <w:tcPr>
            <w:tcW w:w="4644" w:type="dxa"/>
          </w:tcPr>
          <w:p>
            <w:pPr>
              <w:pStyle w:val="NormalWeb"/>
              <w:spacing w:before="240" w:after="240"/>
            </w:pPr>
            <w:r>
              <w:rPr>
                <w:rStyle w:val="normal18"/>
              </w:rPr>
              <w:lastRenderedPageBreak/>
              <w:t xml:space="preserve">Die Verantwortung für die Verwendung des Materials sowie die Haftung für die Verwendung trifft den Empfänger. Der Bereitsteller hat lediglich über allfällige Sicherheitsvorkehrungen in der Handhabung des Materials aufzuklären. </w:t>
            </w:r>
          </w:p>
          <w:p>
            <w:pPr>
              <w:pStyle w:val="NormalWeb"/>
              <w:spacing w:before="240" w:after="240"/>
              <w:rPr>
                <w:rFonts w:eastAsia="Times New Roman"/>
              </w:rPr>
            </w:pPr>
            <w:r>
              <w:rPr>
                <w:rStyle w:val="normal18"/>
              </w:rPr>
              <w:t>Es wird - zumindest für die österreichische Rechtsordnung - vertreten (</w:t>
            </w:r>
            <w:bookmarkStart w:id="0" w:name="_GoBack"/>
            <w:r>
              <w:rPr>
                <w:rStyle w:val="normal18"/>
                <w:i/>
              </w:rPr>
              <w:t>Reis</w:t>
            </w:r>
            <w:bookmarkEnd w:id="0"/>
            <w:r>
              <w:rPr>
                <w:rStyle w:val="normal18"/>
              </w:rPr>
              <w:t xml:space="preserve">, Material </w:t>
            </w:r>
            <w:r>
              <w:rPr>
                <w:rStyle w:val="normal18"/>
              </w:rPr>
              <w:lastRenderedPageBreak/>
              <w:t xml:space="preserve">Transfer Agreements, </w:t>
            </w:r>
            <w:proofErr w:type="spellStart"/>
            <w:r>
              <w:rPr>
                <w:rStyle w:val="normal18"/>
              </w:rPr>
              <w:t>ecolex</w:t>
            </w:r>
            <w:proofErr w:type="spellEnd"/>
            <w:r>
              <w:rPr>
                <w:rStyle w:val="normal18"/>
              </w:rPr>
              <w:t xml:space="preserve"> 2006, 495), dass die Überlassung des Materials dem Produkthaftungsgesetz unterliegt. Für Haftungen nach dem Produkthaftungsgesetz kann kein vertraglicher Haftungsausschluss vereinbart werden - § 9 </w:t>
            </w:r>
            <w:proofErr w:type="spellStart"/>
            <w:r>
              <w:rPr>
                <w:rStyle w:val="normal18"/>
              </w:rPr>
              <w:t>PHG</w:t>
            </w:r>
            <w:proofErr w:type="spellEnd"/>
            <w:r>
              <w:rPr>
                <w:rStyle w:val="normal18"/>
              </w:rPr>
              <w:t xml:space="preserve"> (Produkthaftungsgesetz).</w:t>
            </w:r>
          </w:p>
          <w:p>
            <w:pPr>
              <w:pStyle w:val="NormalWeb"/>
              <w:spacing w:before="240" w:after="240"/>
              <w:rPr>
                <w:rFonts w:ascii="Arial" w:hAnsi="Arial" w:cs="Arial"/>
              </w:rPr>
            </w:pPr>
            <w:r>
              <w:rPr>
                <w:rStyle w:val="normal18"/>
              </w:rPr>
              <w:t>Achtung, der Ausschluss von „</w:t>
            </w:r>
            <w:proofErr w:type="spellStart"/>
            <w:r>
              <w:rPr>
                <w:rStyle w:val="normal18"/>
              </w:rPr>
              <w:t>loss</w:t>
            </w:r>
            <w:proofErr w:type="spellEnd"/>
            <w:r>
              <w:rPr>
                <w:rStyle w:val="normal18"/>
              </w:rPr>
              <w:t xml:space="preserve"> </w:t>
            </w:r>
            <w:proofErr w:type="spellStart"/>
            <w:r>
              <w:rPr>
                <w:rStyle w:val="normal18"/>
              </w:rPr>
              <w:t>of</w:t>
            </w:r>
            <w:proofErr w:type="spellEnd"/>
            <w:r>
              <w:rPr>
                <w:rStyle w:val="normal18"/>
              </w:rPr>
              <w:t xml:space="preserve"> </w:t>
            </w:r>
            <w:proofErr w:type="spellStart"/>
            <w:r>
              <w:rPr>
                <w:rStyle w:val="normal18"/>
              </w:rPr>
              <w:t>profit</w:t>
            </w:r>
            <w:proofErr w:type="spellEnd"/>
            <w:r>
              <w:rPr>
                <w:rStyle w:val="normal18"/>
              </w:rPr>
              <w:t>“ und „</w:t>
            </w:r>
            <w:proofErr w:type="spellStart"/>
            <w:r>
              <w:rPr>
                <w:rStyle w:val="normal18"/>
              </w:rPr>
              <w:t>indirect</w:t>
            </w:r>
            <w:proofErr w:type="spellEnd"/>
            <w:r>
              <w:rPr>
                <w:rStyle w:val="normal18"/>
              </w:rPr>
              <w:t xml:space="preserve"> </w:t>
            </w:r>
            <w:proofErr w:type="spellStart"/>
            <w:r>
              <w:rPr>
                <w:rStyle w:val="normal18"/>
              </w:rPr>
              <w:t>damage</w:t>
            </w:r>
            <w:proofErr w:type="spellEnd"/>
            <w:r>
              <w:rPr>
                <w:rStyle w:val="normal18"/>
              </w:rPr>
              <w:t>“ wird bei vorsätzlicher Handlung nicht und bei grob fahrlässiger Handlung möglicherweise nicht durchsetzbar sein.</w:t>
            </w:r>
          </w:p>
        </w:tc>
      </w:tr>
      <w:tr>
        <w:tc>
          <w:tcPr>
            <w:tcW w:w="4644" w:type="dxa"/>
          </w:tcPr>
          <w:p>
            <w:pPr>
              <w:pStyle w:val="NormalWeb"/>
              <w:spacing w:before="240" w:after="240"/>
            </w:pPr>
            <w:r>
              <w:rPr>
                <w:rStyle w:val="normal17"/>
              </w:rPr>
              <w:lastRenderedPageBreak/>
              <w:t xml:space="preserve">8.4. Die </w:t>
            </w:r>
            <w:r>
              <w:rPr>
                <w:rStyle w:val="c293a4781"/>
              </w:rPr>
              <w:t>übernehmende Partei</w:t>
            </w:r>
            <w:r>
              <w:rPr>
                <w:rStyle w:val="normal17"/>
              </w:rPr>
              <w:t xml:space="preserve"> verpflichtet sich, bei der Nutzung und Entsorgung des </w:t>
            </w:r>
            <w:r>
              <w:rPr>
                <w:rStyle w:val="c293a4781"/>
              </w:rPr>
              <w:t>Materials</w:t>
            </w:r>
            <w:r>
              <w:rPr>
                <w:rStyle w:val="normal17"/>
              </w:rPr>
              <w:t xml:space="preserve"> und der </w:t>
            </w:r>
            <w:r>
              <w:rPr>
                <w:rStyle w:val="c293a4781"/>
              </w:rPr>
              <w:t>Modifikationen</w:t>
            </w:r>
            <w:r>
              <w:rPr>
                <w:rStyle w:val="normal17"/>
              </w:rPr>
              <w:t xml:space="preserve"> alle anwendbaren gesetzlichen Bestimmungen und Normen (insbesondere alle Regelungen für die Entsorgung von Gefahrstoffen), einschließlich von Richtlinien für die Arbeit mit Tieren oder rekombinantem genetischen Materials, einzuhalten. Die </w:t>
            </w:r>
            <w:r>
              <w:rPr>
                <w:rStyle w:val="c293a4781"/>
              </w:rPr>
              <w:t>übernehmende Partei</w:t>
            </w:r>
            <w:r>
              <w:rPr>
                <w:rStyle w:val="normal17"/>
              </w:rPr>
              <w:t xml:space="preserve"> wird alle von den staatlichen Behörden in Zusammenhang mit Erhalt, Handhabung, Entsorgung und Lagerung des </w:t>
            </w:r>
            <w:r>
              <w:rPr>
                <w:rStyle w:val="c293a4781"/>
              </w:rPr>
              <w:t>Materials</w:t>
            </w:r>
            <w:r>
              <w:rPr>
                <w:rStyle w:val="normal17"/>
              </w:rPr>
              <w:t xml:space="preserve"> verlangten Berechtigungen, Lizenzen oder sonstigen Genehmigungen einholen.</w:t>
            </w:r>
          </w:p>
          <w:p>
            <w:pPr>
              <w:pStyle w:val="NormalWeb"/>
              <w:spacing w:before="240" w:after="240"/>
              <w:rPr>
                <w:rFonts w:ascii="Arial" w:hAnsi="Arial" w:cs="Arial"/>
              </w:rPr>
            </w:pPr>
            <w:r>
              <w:rPr>
                <w:rStyle w:val="normal17"/>
              </w:rPr>
              <w:t xml:space="preserve">Die </w:t>
            </w:r>
            <w:r>
              <w:rPr>
                <w:rStyle w:val="c293a4781"/>
              </w:rPr>
              <w:t>übernehmende Partei</w:t>
            </w:r>
            <w:r>
              <w:rPr>
                <w:rStyle w:val="normal17"/>
              </w:rPr>
              <w:t xml:space="preserve"> hat alle Vorgaben der </w:t>
            </w:r>
            <w:proofErr w:type="spellStart"/>
            <w:r>
              <w:rPr>
                <w:rStyle w:val="normal17"/>
              </w:rPr>
              <w:t>Good</w:t>
            </w:r>
            <w:proofErr w:type="spellEnd"/>
            <w:r>
              <w:rPr>
                <w:rStyle w:val="normal17"/>
              </w:rPr>
              <w:t xml:space="preserve"> Clinical Practice einzuhalten.</w:t>
            </w:r>
          </w:p>
        </w:tc>
        <w:tc>
          <w:tcPr>
            <w:tcW w:w="4644" w:type="dxa"/>
          </w:tcPr>
          <w:p>
            <w:pPr>
              <w:rPr>
                <w:rFonts w:ascii="Arial" w:hAnsi="Arial" w:cs="Arial"/>
              </w:rPr>
            </w:pPr>
          </w:p>
        </w:tc>
      </w:tr>
      <w:tr>
        <w:tc>
          <w:tcPr>
            <w:tcW w:w="4644" w:type="dxa"/>
          </w:tcPr>
          <w:p>
            <w:pPr>
              <w:pStyle w:val="NormalWeb"/>
              <w:spacing w:before="240" w:after="240"/>
            </w:pPr>
            <w:r>
              <w:rPr>
                <w:rStyle w:val="normal17"/>
              </w:rPr>
              <w:t xml:space="preserve">8.5. Sollte das </w:t>
            </w:r>
            <w:r>
              <w:rPr>
                <w:rStyle w:val="c293a4781"/>
              </w:rPr>
              <w:t>Material</w:t>
            </w:r>
            <w:r>
              <w:rPr>
                <w:rStyle w:val="normal17"/>
              </w:rPr>
              <w:t xml:space="preserve"> nicht für den </w:t>
            </w:r>
            <w:r>
              <w:rPr>
                <w:rStyle w:val="c293a4781"/>
              </w:rPr>
              <w:t>Zweck</w:t>
            </w:r>
            <w:r>
              <w:rPr>
                <w:rStyle w:val="normal17"/>
              </w:rPr>
              <w:t xml:space="preserve"> geeignet sein oder sonstige Mängel aufweisen, ist die übertragende Partei darüber innerhalb von </w:t>
            </w:r>
            <w:r>
              <w:rPr>
                <w:rStyle w:val="c293a4841"/>
              </w:rPr>
              <w:t>________</w:t>
            </w:r>
            <w:r>
              <w:rPr>
                <w:rStyle w:val="normal17"/>
              </w:rPr>
              <w:t>(</w:t>
            </w:r>
            <w:r>
              <w:rPr>
                <w:rStyle w:val="c293a4861"/>
              </w:rPr>
              <w:t>z.B. 3 (drei)</w:t>
            </w:r>
            <w:r>
              <w:rPr>
                <w:rStyle w:val="normal17"/>
              </w:rPr>
              <w:t>) Geschäftstagen zu benachrichtigen (Benachrichtigung durch E-Mail reicht aus), wobei der jeweilige Mangel oder Fehler so detailliert wie möglich zu beschreiben ist. [</w:t>
            </w:r>
            <w:r>
              <w:rPr>
                <w:rStyle w:val="c293a4801"/>
              </w:rPr>
              <w:t xml:space="preserve">Die </w:t>
            </w:r>
            <w:r>
              <w:rPr>
                <w:rStyle w:val="c293a4811"/>
              </w:rPr>
              <w:t>übertragende Partei</w:t>
            </w:r>
            <w:r>
              <w:rPr>
                <w:rStyle w:val="c293a4801"/>
              </w:rPr>
              <w:t xml:space="preserve"> hat im Falle einer wesentlichen Ungeeignetheit oder wesentlicher Mängel jedenfalls ein Recht auf Verbesserung. Unwesentliche Ungeeignetheit oder unwesentliche Mängel gelten nicht als Gewährleistungsfall.</w:t>
            </w:r>
            <w:r>
              <w:rPr>
                <w:rStyle w:val="normal17"/>
              </w:rPr>
              <w: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7"/>
              </w:rPr>
              <w:t xml:space="preserve">8.6. Die </w:t>
            </w:r>
            <w:r>
              <w:rPr>
                <w:rStyle w:val="c293a4781"/>
              </w:rPr>
              <w:t>übernehmende Partei</w:t>
            </w:r>
            <w:r>
              <w:rPr>
                <w:rStyle w:val="normal17"/>
              </w:rPr>
              <w:t xml:space="preserve"> sichert zu und gewährleistet, dass der </w:t>
            </w:r>
            <w:r>
              <w:rPr>
                <w:rStyle w:val="c293a4781"/>
              </w:rPr>
              <w:t>Zweck</w:t>
            </w:r>
            <w:r>
              <w:rPr>
                <w:rStyle w:val="normal17"/>
              </w:rPr>
              <w:t xml:space="preserve"> von der für sie zuständigen Ethikkommission und gegebenenfalls von allen sonstigen </w:t>
            </w:r>
            <w:r>
              <w:rPr>
                <w:rStyle w:val="normal17"/>
              </w:rPr>
              <w:lastRenderedPageBreak/>
              <w:t>maßgeblichen Behörden genehmigt wurde.</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7"/>
              </w:rPr>
              <w:lastRenderedPageBreak/>
              <w:t xml:space="preserve">8.7. Die </w:t>
            </w:r>
            <w:r>
              <w:rPr>
                <w:rStyle w:val="c293a4781"/>
              </w:rPr>
              <w:t>übertragende Partei</w:t>
            </w:r>
            <w:r>
              <w:rPr>
                <w:rStyle w:val="normal17"/>
              </w:rPr>
              <w:t xml:space="preserve"> sichert zu und gewährleistet hinsichtlich des </w:t>
            </w:r>
            <w:r>
              <w:rPr>
                <w:rStyle w:val="c293a4781"/>
              </w:rPr>
              <w:t>Zwecks</w:t>
            </w:r>
            <w:r>
              <w:rPr>
                <w:rStyle w:val="normal17"/>
              </w:rPr>
              <w:t xml:space="preserve">, dass (1) sie zur Lieferung des </w:t>
            </w:r>
            <w:r>
              <w:rPr>
                <w:rStyle w:val="c293a4781"/>
              </w:rPr>
              <w:t>Materials</w:t>
            </w:r>
            <w:r>
              <w:rPr>
                <w:rStyle w:val="normal17"/>
              </w:rPr>
              <w:t xml:space="preserve"> an die </w:t>
            </w:r>
            <w:r>
              <w:rPr>
                <w:rStyle w:val="c293a4781"/>
              </w:rPr>
              <w:t>übernehmende Partei</w:t>
            </w:r>
            <w:r>
              <w:rPr>
                <w:rStyle w:val="normal17"/>
              </w:rPr>
              <w:t xml:space="preserve"> berechtigt ist, (2) bei den jeweiligen Tierhaltern jeweils ausreichender </w:t>
            </w:r>
            <w:proofErr w:type="spellStart"/>
            <w:r>
              <w:rPr>
                <w:rStyle w:val="normal17"/>
              </w:rPr>
              <w:t>Informed</w:t>
            </w:r>
            <w:proofErr w:type="spellEnd"/>
            <w:r>
              <w:rPr>
                <w:rStyle w:val="normal17"/>
              </w:rPr>
              <w:t xml:space="preserve"> </w:t>
            </w:r>
            <w:proofErr w:type="spellStart"/>
            <w:r>
              <w:rPr>
                <w:rStyle w:val="normal17"/>
              </w:rPr>
              <w:t>Consent</w:t>
            </w:r>
            <w:proofErr w:type="spellEnd"/>
            <w:r>
              <w:rPr>
                <w:rStyle w:val="normal17"/>
              </w:rPr>
              <w:t xml:space="preserve"> eingeholt (und nötigenfalls auch das Eigentum erworben) wurde.</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7"/>
              </w:rPr>
              <w:t xml:space="preserve">8.8. Das </w:t>
            </w:r>
            <w:r>
              <w:rPr>
                <w:rStyle w:val="c293a4781"/>
              </w:rPr>
              <w:t>Material</w:t>
            </w:r>
            <w:r>
              <w:rPr>
                <w:rStyle w:val="normal17"/>
              </w:rPr>
              <w:t xml:space="preserve"> wird der </w:t>
            </w:r>
            <w:r>
              <w:rPr>
                <w:rStyle w:val="c293a4781"/>
              </w:rPr>
              <w:t>übernehmenden Partei</w:t>
            </w:r>
            <w:r>
              <w:rPr>
                <w:rStyle w:val="normal17"/>
              </w:rPr>
              <w:t xml:space="preserve"> ohne Informationen zur Identität des Tierhalters in völlig anonymisierter Form [</w:t>
            </w:r>
            <w:r>
              <w:rPr>
                <w:rStyle w:val="normal17"/>
                <w:highlight w:val="cyan"/>
              </w:rPr>
              <w:t xml:space="preserve">Alternative: </w:t>
            </w:r>
            <w:proofErr w:type="spellStart"/>
            <w:r>
              <w:rPr>
                <w:rStyle w:val="normal17"/>
                <w:highlight w:val="cyan"/>
              </w:rPr>
              <w:t>pseudonymisiert</w:t>
            </w:r>
            <w:proofErr w:type="spellEnd"/>
            <w:r>
              <w:rPr>
                <w:rStyle w:val="normal17"/>
              </w:rPr>
              <w:t xml:space="preserve">] bereitgestellt. Die </w:t>
            </w:r>
            <w:r>
              <w:rPr>
                <w:rStyle w:val="c293a4781"/>
              </w:rPr>
              <w:t>übernehmende Partei</w:t>
            </w:r>
            <w:r>
              <w:rPr>
                <w:rStyle w:val="normal17"/>
              </w:rPr>
              <w:t xml:space="preserve"> stimmt zu, dass das </w:t>
            </w:r>
            <w:r>
              <w:rPr>
                <w:rStyle w:val="c293a4781"/>
              </w:rPr>
              <w:t>Material</w:t>
            </w:r>
            <w:r>
              <w:rPr>
                <w:rStyle w:val="normal17"/>
              </w:rPr>
              <w:t xml:space="preserve"> weder allein noch in Verbindung mit anderen Informationen in irgendeiner Weise dazu verwendet werden wird, die Identität einzelner Tierhalter, von denen das </w:t>
            </w:r>
            <w:r>
              <w:rPr>
                <w:rStyle w:val="c293a4781"/>
              </w:rPr>
              <w:t>Material</w:t>
            </w:r>
            <w:r>
              <w:rPr>
                <w:rStyle w:val="normal17"/>
              </w:rPr>
              <w:t xml:space="preserve"> herstammt, festzustellen. Tierhalter, von denen das </w:t>
            </w:r>
            <w:r>
              <w:rPr>
                <w:rStyle w:val="c293a4781"/>
              </w:rPr>
              <w:t>Material</w:t>
            </w:r>
            <w:r>
              <w:rPr>
                <w:rStyle w:val="normal17"/>
              </w:rPr>
              <w:t xml:space="preserve"> herstammt, das der </w:t>
            </w:r>
            <w:r>
              <w:rPr>
                <w:rStyle w:val="c293a4781"/>
              </w:rPr>
              <w:t>übertragenden Partei</w:t>
            </w:r>
            <w:r>
              <w:rPr>
                <w:rStyle w:val="normal17"/>
              </w:rPr>
              <w:t xml:space="preserve"> einschließlich personenbezogener Daten zur Verfügung gestellt wurde, können beschließen, ihre Zustimmung zur Nutzung ihrer personenbezogenen Daten zu widerrufen. In einem solchen Fall wird die </w:t>
            </w:r>
            <w:r>
              <w:rPr>
                <w:rStyle w:val="c293a4781"/>
              </w:rPr>
              <w:t>übertragende Partei</w:t>
            </w:r>
            <w:r>
              <w:rPr>
                <w:rStyle w:val="normal17"/>
              </w:rPr>
              <w:t xml:space="preserve"> dann die </w:t>
            </w:r>
            <w:r>
              <w:rPr>
                <w:rStyle w:val="c293a4781"/>
              </w:rPr>
              <w:t>übernehmende Partei</w:t>
            </w:r>
            <w:r>
              <w:rPr>
                <w:rStyle w:val="normal17"/>
              </w:rPr>
              <w:t xml:space="preserve"> von diesem Widerruf in Kenntnis setzen und von der </w:t>
            </w:r>
            <w:r>
              <w:rPr>
                <w:rStyle w:val="c293a4781"/>
              </w:rPr>
              <w:t>übernehmenden Partei</w:t>
            </w:r>
            <w:r>
              <w:rPr>
                <w:rStyle w:val="normal17"/>
              </w:rPr>
              <w:t xml:space="preserve"> verlangen, entweder weitere Forschung einzustellen oder die personenbezogenen Daten zu anonymisieren.</w:t>
            </w:r>
          </w:p>
        </w:tc>
        <w:tc>
          <w:tcPr>
            <w:tcW w:w="4644" w:type="dxa"/>
          </w:tcPr>
          <w:p>
            <w:pPr>
              <w:pStyle w:val="NormalWeb"/>
              <w:spacing w:before="240" w:after="240"/>
              <w:rPr>
                <w:rFonts w:ascii="Arial" w:hAnsi="Arial" w:cs="Arial"/>
              </w:rPr>
            </w:pPr>
            <w:r>
              <w:rPr>
                <w:rStyle w:val="normal18"/>
              </w:rPr>
              <w:t xml:space="preserve">Es mag sein, dass Tiere derart </w:t>
            </w:r>
            <w:proofErr w:type="spellStart"/>
            <w:r>
              <w:rPr>
                <w:rStyle w:val="normal18"/>
              </w:rPr>
              <w:t>gechipt</w:t>
            </w:r>
            <w:proofErr w:type="spellEnd"/>
            <w:r>
              <w:rPr>
                <w:rStyle w:val="normal18"/>
              </w:rPr>
              <w:t xml:space="preserve"> sind, dass mit jeder Probe auch automatisch Information über den Tierhalter mitgeliefert wird.</w:t>
            </w:r>
          </w:p>
        </w:tc>
      </w:tr>
      <w:tr>
        <w:tc>
          <w:tcPr>
            <w:tcW w:w="4644" w:type="dxa"/>
          </w:tcPr>
          <w:p>
            <w:pPr>
              <w:pStyle w:val="NormalWeb"/>
              <w:spacing w:before="240"/>
              <w:jc w:val="center"/>
            </w:pPr>
            <w:r>
              <w:rPr>
                <w:rStyle w:val="cf666d801"/>
              </w:rPr>
              <w:t>9.</w:t>
            </w:r>
          </w:p>
          <w:p>
            <w:pPr>
              <w:pStyle w:val="NormalWeb"/>
              <w:spacing w:after="240"/>
              <w:jc w:val="center"/>
              <w:rPr>
                <w:rFonts w:ascii="Arial" w:hAnsi="Arial" w:cs="Arial"/>
              </w:rPr>
            </w:pPr>
            <w:r>
              <w:rPr>
                <w:rStyle w:val="cf666d801"/>
              </w:rPr>
              <w:t>LAUFZEIT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9"/>
              </w:rPr>
              <w:t xml:space="preserve">9.1. Diese </w:t>
            </w:r>
            <w:r>
              <w:rPr>
                <w:rStyle w:val="cf666d781"/>
              </w:rPr>
              <w:t>Vereinbarung</w:t>
            </w:r>
            <w:r>
              <w:rPr>
                <w:rStyle w:val="normal19"/>
              </w:rPr>
              <w:t xml:space="preserve"> wird für eine Laufzeit von </w:t>
            </w:r>
            <w:r>
              <w:rPr>
                <w:rStyle w:val="cf666d811"/>
              </w:rPr>
              <w:t>____</w:t>
            </w:r>
            <w:r>
              <w:rPr>
                <w:rStyle w:val="normal19"/>
              </w:rPr>
              <w:t>(</w:t>
            </w:r>
            <w:r>
              <w:rPr>
                <w:rStyle w:val="cf666d831"/>
              </w:rPr>
              <w:t>Zeitraum, z.B. 2 (zwei) Jahren</w:t>
            </w:r>
            <w:r>
              <w:rPr>
                <w:rStyle w:val="normal19"/>
              </w:rPr>
              <w:t xml:space="preserve">) ab dem </w:t>
            </w:r>
            <w:r>
              <w:rPr>
                <w:rStyle w:val="cf666d781"/>
              </w:rPr>
              <w:t>Tag des Inkrafttretens</w:t>
            </w:r>
            <w:r>
              <w:rPr>
                <w:rStyle w:val="normal19"/>
              </w:rPr>
              <w:t xml:space="preserve"> abgeschlossen. Jede </w:t>
            </w:r>
            <w:r>
              <w:rPr>
                <w:rStyle w:val="cf666d781"/>
              </w:rPr>
              <w:t>Partei</w:t>
            </w:r>
            <w:r>
              <w:rPr>
                <w:rStyle w:val="normal19"/>
              </w:rPr>
              <w:t xml:space="preserve"> hat das Recht, sie jederzeit und aus jedem Grund unter Einhaltung einer Kündigungsfrist von </w:t>
            </w:r>
            <w:r>
              <w:rPr>
                <w:rStyle w:val="cf666d811"/>
              </w:rPr>
              <w:t>____</w:t>
            </w:r>
            <w:r>
              <w:rPr>
                <w:rStyle w:val="normal19"/>
              </w:rPr>
              <w:t>(</w:t>
            </w:r>
            <w:r>
              <w:rPr>
                <w:rStyle w:val="cf666d831"/>
              </w:rPr>
              <w:t>z.B. 90 (neunzig)</w:t>
            </w:r>
            <w:r>
              <w:rPr>
                <w:rStyle w:val="normal19"/>
              </w:rPr>
              <w:t xml:space="preserve">) Kalendertagen schriftlich zu beenden. Die </w:t>
            </w:r>
            <w:r>
              <w:rPr>
                <w:rStyle w:val="cf666d781"/>
              </w:rPr>
              <w:t>Vereinbarung</w:t>
            </w:r>
            <w:r>
              <w:rPr>
                <w:rStyle w:val="normal19"/>
              </w:rPr>
              <w:t xml:space="preserve"> endet automatisch sofern der </w:t>
            </w:r>
            <w:r>
              <w:rPr>
                <w:rStyle w:val="cf666d781"/>
              </w:rPr>
              <w:t>Zweck</w:t>
            </w:r>
            <w:r>
              <w:rPr>
                <w:rStyle w:val="normal19"/>
              </w:rPr>
              <w:t xml:space="preserve"> dieser </w:t>
            </w:r>
            <w:r>
              <w:rPr>
                <w:rStyle w:val="cf666d781"/>
              </w:rPr>
              <w:t>Vereinbarung</w:t>
            </w:r>
            <w:r>
              <w:rPr>
                <w:rStyle w:val="normal19"/>
              </w:rPr>
              <w:t xml:space="preserve"> vor Ablauf der oben definierten Laufzeit erreicht ist, bzw. gegebenenfalls bei Ablauf oder Nichtverlängerung der Genehmigung durch die Ethikkommission. Sollte der </w:t>
            </w:r>
            <w:r>
              <w:rPr>
                <w:rStyle w:val="cf666d781"/>
              </w:rPr>
              <w:t>Zweck</w:t>
            </w:r>
            <w:r>
              <w:rPr>
                <w:rStyle w:val="normal19"/>
              </w:rPr>
              <w:t xml:space="preserve"> </w:t>
            </w:r>
            <w:r>
              <w:rPr>
                <w:rStyle w:val="normal19"/>
              </w:rPr>
              <w:lastRenderedPageBreak/>
              <w:t xml:space="preserve">dieser </w:t>
            </w:r>
            <w:r>
              <w:rPr>
                <w:rStyle w:val="cf666d781"/>
              </w:rPr>
              <w:t>Vereinbarung</w:t>
            </w:r>
            <w:r>
              <w:rPr>
                <w:rStyle w:val="normal19"/>
              </w:rPr>
              <w:t xml:space="preserve"> vor dem Ende der Laufzeit dieser </w:t>
            </w:r>
            <w:r>
              <w:rPr>
                <w:rStyle w:val="cf666d781"/>
              </w:rPr>
              <w:t>Vereinbarung</w:t>
            </w:r>
            <w:r>
              <w:rPr>
                <w:rStyle w:val="normal19"/>
              </w:rPr>
              <w:t xml:space="preserve"> noch nicht erfüllt sein, verlängert sich die Laufzeit der </w:t>
            </w:r>
            <w:r>
              <w:rPr>
                <w:rStyle w:val="cf666d781"/>
              </w:rPr>
              <w:t>Vereinbarung</w:t>
            </w:r>
            <w:r>
              <w:rPr>
                <w:rStyle w:val="normal19"/>
              </w:rPr>
              <w:t xml:space="preserve"> nicht automatisch. Wenn eine </w:t>
            </w:r>
            <w:r>
              <w:rPr>
                <w:rStyle w:val="cf666d781"/>
              </w:rPr>
              <w:t>Partei</w:t>
            </w:r>
            <w:r>
              <w:rPr>
                <w:rStyle w:val="normal19"/>
              </w:rPr>
              <w:t xml:space="preserve"> wünscht, den </w:t>
            </w:r>
            <w:r>
              <w:rPr>
                <w:rStyle w:val="cf666d781"/>
              </w:rPr>
              <w:t>Zweck</w:t>
            </w:r>
            <w:r>
              <w:rPr>
                <w:rStyle w:val="normal19"/>
              </w:rPr>
              <w:t xml:space="preserve"> dieser </w:t>
            </w:r>
            <w:r>
              <w:rPr>
                <w:rStyle w:val="cf666d781"/>
              </w:rPr>
              <w:t>Vereinbarung</w:t>
            </w:r>
            <w:r>
              <w:rPr>
                <w:rStyle w:val="normal19"/>
              </w:rPr>
              <w:t xml:space="preserve"> weiter zu verfolgen, werden die </w:t>
            </w:r>
            <w:r>
              <w:rPr>
                <w:rStyle w:val="cf666d781"/>
              </w:rPr>
              <w:t>Parteien</w:t>
            </w:r>
            <w:r>
              <w:rPr>
                <w:rStyle w:val="normal19"/>
              </w:rPr>
              <w:t xml:space="preserve"> nach Treu und Glauben eine Vereinbarung über eine derartige weitere Nutzung verhandeln; die </w:t>
            </w:r>
            <w:r>
              <w:rPr>
                <w:rStyle w:val="cf666d781"/>
              </w:rPr>
              <w:t>übertragende Partei</w:t>
            </w:r>
            <w:r>
              <w:rPr>
                <w:rStyle w:val="normal19"/>
              </w:rPr>
              <w:t xml:space="preserve"> ist jedoch nicht verpflichtet, eine solche Vereinbarung abzuschließen.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9"/>
              </w:rPr>
              <w:lastRenderedPageBreak/>
              <w:t xml:space="preserve">9.2. Für den Fall, dass diese </w:t>
            </w:r>
            <w:r>
              <w:rPr>
                <w:rStyle w:val="cf666d781"/>
              </w:rPr>
              <w:t>Vereinbarung</w:t>
            </w:r>
            <w:r>
              <w:rPr>
                <w:rStyle w:val="normal19"/>
              </w:rPr>
              <w:t xml:space="preserve"> aus irgendeinem Grund endet, oder wenn die </w:t>
            </w:r>
            <w:r>
              <w:rPr>
                <w:rStyle w:val="cf666d781"/>
              </w:rPr>
              <w:t>übernehmende Partei</w:t>
            </w:r>
            <w:r>
              <w:rPr>
                <w:rStyle w:val="normal19"/>
              </w:rPr>
              <w:t xml:space="preserve"> das </w:t>
            </w:r>
            <w:r>
              <w:rPr>
                <w:rStyle w:val="cf666d781"/>
              </w:rPr>
              <w:t>Material</w:t>
            </w:r>
            <w:r>
              <w:rPr>
                <w:rStyle w:val="normal19"/>
              </w:rPr>
              <w:t xml:space="preserve"> nicht für den </w:t>
            </w:r>
            <w:r>
              <w:rPr>
                <w:rStyle w:val="cf666d781"/>
              </w:rPr>
              <w:t>Zweck</w:t>
            </w:r>
            <w:r>
              <w:rPr>
                <w:rStyle w:val="normal19"/>
              </w:rPr>
              <w:t xml:space="preserve"> dieser </w:t>
            </w:r>
            <w:r>
              <w:rPr>
                <w:rStyle w:val="cf666d781"/>
              </w:rPr>
              <w:t>Vereinbarung</w:t>
            </w:r>
            <w:r>
              <w:rPr>
                <w:rStyle w:val="normal19"/>
              </w:rPr>
              <w:t xml:space="preserve"> nutzt und nicht beabsichtigt, es zu nutzen, ist die </w:t>
            </w:r>
            <w:r>
              <w:rPr>
                <w:rStyle w:val="cf666d781"/>
              </w:rPr>
              <w:t>übernehmende Partei</w:t>
            </w:r>
            <w:r>
              <w:rPr>
                <w:rStyle w:val="normal19"/>
              </w:rPr>
              <w:t xml:space="preserve"> verpflichtet,[</w:t>
            </w:r>
            <w:r>
              <w:rPr>
                <w:rStyle w:val="cf666d841"/>
              </w:rPr>
              <w:t xml:space="preserve"> auf eigene Kosten</w:t>
            </w:r>
            <w:r>
              <w:rPr>
                <w:rStyle w:val="normal19"/>
              </w:rPr>
              <w:t xml:space="preserve">] das </w:t>
            </w:r>
            <w:r>
              <w:rPr>
                <w:rStyle w:val="cf666d781"/>
              </w:rPr>
              <w:t>Material</w:t>
            </w:r>
            <w:r>
              <w:rPr>
                <w:rStyle w:val="normal19"/>
              </w:rPr>
              <w:t>[</w:t>
            </w:r>
            <w:r>
              <w:rPr>
                <w:rStyle w:val="cf666d841"/>
              </w:rPr>
              <w:t xml:space="preserve">, die </w:t>
            </w:r>
            <w:r>
              <w:rPr>
                <w:rStyle w:val="cf666d851"/>
              </w:rPr>
              <w:t>Modifikation</w:t>
            </w:r>
            <w:r>
              <w:rPr>
                <w:rStyle w:val="normal19"/>
              </w:rPr>
              <w:t xml:space="preserve">] und alle damit zusammenhängenden Informationen an die </w:t>
            </w:r>
            <w:r>
              <w:rPr>
                <w:rStyle w:val="cf666d781"/>
              </w:rPr>
              <w:t>übertragende Partei</w:t>
            </w:r>
            <w:r>
              <w:rPr>
                <w:rStyle w:val="normal19"/>
              </w:rPr>
              <w:t xml:space="preserve"> zurückstellen [</w:t>
            </w:r>
            <w:r>
              <w:rPr>
                <w:rStyle w:val="cf666d841"/>
              </w:rPr>
              <w:t xml:space="preserve">und das Eigentum am </w:t>
            </w:r>
            <w:r>
              <w:rPr>
                <w:rStyle w:val="cf666d851"/>
              </w:rPr>
              <w:t>Material</w:t>
            </w:r>
            <w:r>
              <w:rPr>
                <w:rStyle w:val="cf666d841"/>
              </w:rPr>
              <w:t xml:space="preserve"> </w:t>
            </w:r>
            <w:proofErr w:type="spellStart"/>
            <w:r>
              <w:rPr>
                <w:rStyle w:val="cf666d841"/>
              </w:rPr>
              <w:t>rückzuübertragen</w:t>
            </w:r>
            <w:proofErr w:type="spellEnd"/>
            <w:r>
              <w:rPr>
                <w:rStyle w:val="normal19"/>
              </w:rPr>
              <w:t xml:space="preserve">] soweit dies möglich ist, oder – auf Verlangen der </w:t>
            </w:r>
            <w:r>
              <w:rPr>
                <w:rStyle w:val="cf666d781"/>
              </w:rPr>
              <w:t>übertragenden Partei</w:t>
            </w:r>
            <w:r>
              <w:rPr>
                <w:rStyle w:val="normal19"/>
              </w:rPr>
              <w:t xml:space="preserve"> – obiges mit der gebotenen Sorgfalt zu vernichten.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9"/>
              </w:rPr>
              <w:t xml:space="preserve">9.3. Punkt 7 behält ungeachtet einer Beendigung dieser </w:t>
            </w:r>
            <w:r>
              <w:rPr>
                <w:rStyle w:val="cf666d781"/>
              </w:rPr>
              <w:t>Vereinbarung</w:t>
            </w:r>
            <w:r>
              <w:rPr>
                <w:rStyle w:val="normal19"/>
              </w:rPr>
              <w:t xml:space="preserve"> seine Gültigkeit.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9"/>
              </w:rPr>
              <w:t xml:space="preserve">9.4. Bei einer Beendigung wird die </w:t>
            </w:r>
            <w:r>
              <w:rPr>
                <w:rStyle w:val="cf666d781"/>
              </w:rPr>
              <w:t>übernehmende Partei</w:t>
            </w:r>
            <w:r>
              <w:rPr>
                <w:rStyle w:val="normal19"/>
              </w:rPr>
              <w:t xml:space="preserve"> (a) eine Kontrolle des verbliebenen </w:t>
            </w:r>
            <w:r>
              <w:rPr>
                <w:rStyle w:val="cf666d781"/>
              </w:rPr>
              <w:t>Materials</w:t>
            </w:r>
            <w:r>
              <w:rPr>
                <w:rStyle w:val="normal19"/>
              </w:rPr>
              <w:t xml:space="preserve"> vornehmen und innerhalb von </w:t>
            </w:r>
            <w:r>
              <w:rPr>
                <w:rStyle w:val="cf666d811"/>
              </w:rPr>
              <w:t>____</w:t>
            </w:r>
            <w:r>
              <w:rPr>
                <w:rStyle w:val="normal19"/>
              </w:rPr>
              <w:t>(</w:t>
            </w:r>
            <w:r>
              <w:rPr>
                <w:rStyle w:val="cf666d831"/>
              </w:rPr>
              <w:t>z.B. 60 (sechzig)</w:t>
            </w:r>
            <w:r>
              <w:rPr>
                <w:rStyle w:val="normal19"/>
              </w:rPr>
              <w:t xml:space="preserve">) Kalendertagen der </w:t>
            </w:r>
            <w:r>
              <w:rPr>
                <w:rStyle w:val="cf666d781"/>
              </w:rPr>
              <w:t>übertragenden Partei</w:t>
            </w:r>
            <w:r>
              <w:rPr>
                <w:rStyle w:val="normal19"/>
              </w:rPr>
              <w:t xml:space="preserve"> eine vollständige Aufstellung des gesamten zum Datum der Beendigung noch existierenden </w:t>
            </w:r>
            <w:r>
              <w:rPr>
                <w:rStyle w:val="cf666d781"/>
              </w:rPr>
              <w:t>Materials</w:t>
            </w:r>
            <w:r>
              <w:rPr>
                <w:rStyle w:val="normal19"/>
              </w:rPr>
              <w:t xml:space="preserve"> (“noch vorhandenes Material”) zur Verfügung stellen; und (b) aufhören, das noch vorhandene </w:t>
            </w:r>
            <w:r>
              <w:rPr>
                <w:rStyle w:val="cf666d781"/>
              </w:rPr>
              <w:t>Material</w:t>
            </w:r>
            <w:r>
              <w:rPr>
                <w:rStyle w:val="normal19"/>
              </w:rPr>
              <w:t xml:space="preserve"> zu nutzen, und jegliches noch vorhandene </w:t>
            </w:r>
            <w:r>
              <w:rPr>
                <w:rStyle w:val="cf666d781"/>
              </w:rPr>
              <w:t>Material</w:t>
            </w:r>
            <w:r>
              <w:rPr>
                <w:rStyle w:val="normal19"/>
              </w:rPr>
              <w:t xml:space="preserve"> entweder an die </w:t>
            </w:r>
            <w:r>
              <w:rPr>
                <w:rStyle w:val="cf666d781"/>
              </w:rPr>
              <w:t>übertragende Partei</w:t>
            </w:r>
            <w:r>
              <w:rPr>
                <w:rStyle w:val="normal19"/>
              </w:rPr>
              <w:t xml:space="preserve"> zurückstellen oder es nach Wahl der </w:t>
            </w:r>
            <w:r>
              <w:rPr>
                <w:rStyle w:val="cf666d781"/>
              </w:rPr>
              <w:t>übertragenden Partei</w:t>
            </w:r>
            <w:r>
              <w:rPr>
                <w:rStyle w:val="normal19"/>
              </w:rPr>
              <w:t xml:space="preserve"> vernichten und diese Vernichtung gegenüber der </w:t>
            </w:r>
            <w:r>
              <w:rPr>
                <w:rStyle w:val="cf666d781"/>
              </w:rPr>
              <w:t>übertragenden Partei</w:t>
            </w:r>
            <w:r>
              <w:rPr>
                <w:rStyle w:val="normal19"/>
              </w:rPr>
              <w:t xml:space="preserve"> bestätigen; und (c) jegliche </w:t>
            </w:r>
            <w:r>
              <w:rPr>
                <w:rStyle w:val="cf666d781"/>
              </w:rPr>
              <w:t>Modifikationen</w:t>
            </w:r>
            <w:r>
              <w:rPr>
                <w:rStyle w:val="normal19"/>
              </w:rPr>
              <w:t xml:space="preserve"> entweder vernichten oder weiterhin an die Bestimmungen von Klausel 9 gebunden bleiben, soweit diese auf </w:t>
            </w:r>
            <w:r>
              <w:rPr>
                <w:rStyle w:val="cf666d781"/>
              </w:rPr>
              <w:t>Modifikationen</w:t>
            </w:r>
            <w:r>
              <w:rPr>
                <w:rStyle w:val="normal19"/>
              </w:rPr>
              <w:t xml:space="preserve"> anwendbar sind.</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19"/>
              </w:rPr>
              <w:lastRenderedPageBreak/>
              <w:t xml:space="preserve">9.5. Das Eigentum an </w:t>
            </w:r>
            <w:r>
              <w:rPr>
                <w:rStyle w:val="cf666d781"/>
              </w:rPr>
              <w:t>Ergebnissen</w:t>
            </w:r>
            <w:r>
              <w:rPr>
                <w:rStyle w:val="normal19"/>
              </w:rPr>
              <w:t xml:space="preserve"> bleibt von der Beendigung der </w:t>
            </w:r>
            <w:r>
              <w:rPr>
                <w:rStyle w:val="cf666d781"/>
              </w:rPr>
              <w:t>Vereinbarung</w:t>
            </w:r>
            <w:r>
              <w:rPr>
                <w:rStyle w:val="normal19"/>
              </w:rPr>
              <w:t xml:space="preserve"> unberührt.</w:t>
            </w:r>
          </w:p>
        </w:tc>
        <w:tc>
          <w:tcPr>
            <w:tcW w:w="4644" w:type="dxa"/>
          </w:tcPr>
          <w:p>
            <w:pPr>
              <w:rPr>
                <w:rFonts w:ascii="Arial" w:hAnsi="Arial" w:cs="Arial"/>
              </w:rPr>
            </w:pPr>
          </w:p>
        </w:tc>
      </w:tr>
      <w:tr>
        <w:tc>
          <w:tcPr>
            <w:tcW w:w="4644" w:type="dxa"/>
          </w:tcPr>
          <w:p>
            <w:pPr>
              <w:pStyle w:val="NormalWeb"/>
              <w:spacing w:before="240"/>
              <w:jc w:val="center"/>
            </w:pPr>
            <w:r>
              <w:rPr>
                <w:rStyle w:val="c5c9461021"/>
              </w:rPr>
              <w:t>10.</w:t>
            </w:r>
          </w:p>
          <w:p>
            <w:pPr>
              <w:pStyle w:val="NormalWeb"/>
              <w:spacing w:after="240"/>
              <w:jc w:val="center"/>
              <w:rPr>
                <w:rFonts w:ascii="Arial" w:hAnsi="Arial" w:cs="Arial"/>
              </w:rPr>
            </w:pPr>
            <w:r>
              <w:rPr>
                <w:rStyle w:val="c5c9461021"/>
              </w:rPr>
              <w:t>ENTGELT FÜR MATERIAL</w:t>
            </w:r>
          </w:p>
        </w:tc>
        <w:tc>
          <w:tcPr>
            <w:tcW w:w="4644" w:type="dxa"/>
          </w:tcPr>
          <w:p>
            <w:pPr>
              <w:pStyle w:val="NormalWeb"/>
              <w:spacing w:before="240" w:after="240"/>
              <w:rPr>
                <w:rFonts w:ascii="Arial" w:hAnsi="Arial" w:cs="Arial"/>
              </w:rPr>
            </w:pPr>
            <w:r>
              <w:rPr>
                <w:rStyle w:val="normal21"/>
              </w:rPr>
              <w:t>Tierische Materialien dürfen entgeltlich überlassen oder verkauft werden. Es gibt diesbezüglich keine ethischen oder gesetzlichen Schranken.</w:t>
            </w:r>
          </w:p>
        </w:tc>
      </w:tr>
      <w:tr>
        <w:tc>
          <w:tcPr>
            <w:tcW w:w="4644" w:type="dxa"/>
          </w:tcPr>
          <w:p>
            <w:pPr>
              <w:pStyle w:val="NormalWeb"/>
              <w:spacing w:before="240" w:after="240"/>
            </w:pPr>
            <w:r>
              <w:rPr>
                <w:rStyle w:val="normal20"/>
              </w:rPr>
              <w:t xml:space="preserve">Das </w:t>
            </w:r>
            <w:r>
              <w:rPr>
                <w:rStyle w:val="c5c9461011"/>
              </w:rPr>
              <w:t>Material</w:t>
            </w:r>
            <w:r>
              <w:rPr>
                <w:rStyle w:val="normal20"/>
              </w:rPr>
              <w:t xml:space="preserve"> wird unentgeltlich bereitgestellt; ausgenommen sind damit zusammenhängende [</w:t>
            </w:r>
            <w:r>
              <w:rPr>
                <w:rStyle w:val="c5c9461031"/>
              </w:rPr>
              <w:t>Biobanking-, Verarbeitungs- und</w:t>
            </w:r>
            <w:r>
              <w:rPr>
                <w:rStyle w:val="normal20"/>
              </w:rPr>
              <w:t xml:space="preserve">] Transportkosten, die von der </w:t>
            </w:r>
            <w:r>
              <w:rPr>
                <w:rStyle w:val="c5c9461011"/>
              </w:rPr>
              <w:t>übernehmenden Partei</w:t>
            </w:r>
            <w:r>
              <w:rPr>
                <w:rStyle w:val="normal20"/>
              </w:rPr>
              <w:t xml:space="preserve"> zu tragen sind. [</w:t>
            </w:r>
            <w:r>
              <w:rPr>
                <w:rStyle w:val="c5c9461041"/>
              </w:rPr>
              <w:t>Alternative</w:t>
            </w:r>
            <w:r>
              <w:rPr>
                <w:rStyle w:val="normal20"/>
              </w:rPr>
              <w:t xml:space="preserve">: Das </w:t>
            </w:r>
            <w:r>
              <w:rPr>
                <w:rStyle w:val="c5c9461011"/>
              </w:rPr>
              <w:t>Material</w:t>
            </w:r>
            <w:r>
              <w:rPr>
                <w:rStyle w:val="normal20"/>
              </w:rPr>
              <w:t xml:space="preserve"> wird gegen eine durch die </w:t>
            </w:r>
            <w:r>
              <w:rPr>
                <w:rStyle w:val="c5c9461011"/>
              </w:rPr>
              <w:t>übernehmende Partei</w:t>
            </w:r>
            <w:r>
              <w:rPr>
                <w:rStyle w:val="normal20"/>
              </w:rPr>
              <w:t xml:space="preserve"> zu zahlende Vergütung in Höhe von EUR </w:t>
            </w:r>
            <w:r>
              <w:rPr>
                <w:rStyle w:val="c5c9461061"/>
              </w:rPr>
              <w:t>____</w:t>
            </w:r>
            <w:r>
              <w:rPr>
                <w:rStyle w:val="normal20"/>
              </w:rPr>
              <w:t xml:space="preserve"> (</w:t>
            </w:r>
            <w:r>
              <w:rPr>
                <w:rStyle w:val="c5c9461081"/>
              </w:rPr>
              <w:t>Betrag</w:t>
            </w:r>
            <w:r>
              <w:rPr>
                <w:rStyle w:val="normal20"/>
              </w:rPr>
              <w:t>) bereitgestellt][plus Leistung von Meilenstein-Zahlungen gemäß näherer Festlegung in Anlage./10.1.</w:t>
            </w:r>
          </w:p>
          <w:p>
            <w:pPr>
              <w:pStyle w:val="NormalWeb"/>
              <w:spacing w:before="240" w:after="240"/>
            </w:pPr>
            <w:r>
              <w:rPr>
                <w:rStyle w:val="c5c9461041"/>
              </w:rPr>
              <w:t>Option Preisliste</w:t>
            </w:r>
            <w:r>
              <w:rPr>
                <w:rStyle w:val="normal20"/>
              </w:rPr>
              <w:t xml:space="preserve">: [Die </w:t>
            </w:r>
            <w:r>
              <w:rPr>
                <w:rStyle w:val="c5c9461011"/>
              </w:rPr>
              <w:t>übertragende Partei</w:t>
            </w:r>
            <w:r>
              <w:rPr>
                <w:rStyle w:val="normal20"/>
              </w:rPr>
              <w:t xml:space="preserve"> verrechnet der </w:t>
            </w:r>
            <w:r>
              <w:rPr>
                <w:rStyle w:val="c5c9461011"/>
              </w:rPr>
              <w:t>übernehmenden Partei</w:t>
            </w:r>
            <w:r>
              <w:rPr>
                <w:rStyle w:val="normal20"/>
              </w:rPr>
              <w:t xml:space="preserve"> die Kosten [</w:t>
            </w:r>
            <w:r>
              <w:rPr>
                <w:rStyle w:val="c5c9461031"/>
              </w:rPr>
              <w:t>für Probenentnahme, Biobanking, Verarbeitung einschließlich DNA-Extraktion, Verpackung und Versand</w:t>
            </w:r>
            <w:r>
              <w:rPr>
                <w:rStyle w:val="normal20"/>
              </w:rPr>
              <w:t xml:space="preserve">] zu dem letzten auf der Website der </w:t>
            </w:r>
            <w:r>
              <w:rPr>
                <w:rStyle w:val="c5c9461011"/>
              </w:rPr>
              <w:t>übertragenden Partei</w:t>
            </w:r>
            <w:r>
              <w:rPr>
                <w:rStyle w:val="normal20"/>
              </w:rPr>
              <w:t xml:space="preserve"> veröffentlichten Satz.]</w:t>
            </w:r>
          </w:p>
          <w:p>
            <w:pPr>
              <w:pStyle w:val="NormalWeb"/>
              <w:spacing w:before="240" w:after="240"/>
            </w:pPr>
            <w:r>
              <w:rPr>
                <w:rStyle w:val="c5c9461041"/>
              </w:rPr>
              <w:t>Option vereinbarter Stückpreis</w:t>
            </w:r>
            <w:r>
              <w:rPr>
                <w:rStyle w:val="normal20"/>
              </w:rPr>
              <w:t xml:space="preserve">: [Die </w:t>
            </w:r>
            <w:r>
              <w:rPr>
                <w:rStyle w:val="c5c9461011"/>
              </w:rPr>
              <w:t>übertragende Partei</w:t>
            </w:r>
            <w:r>
              <w:rPr>
                <w:rStyle w:val="normal20"/>
              </w:rPr>
              <w:t xml:space="preserve"> verrechnet der </w:t>
            </w:r>
            <w:r>
              <w:rPr>
                <w:rStyle w:val="c5c9461011"/>
              </w:rPr>
              <w:t>übernehmenden Partei</w:t>
            </w:r>
            <w:r>
              <w:rPr>
                <w:rStyle w:val="normal20"/>
              </w:rPr>
              <w:t xml:space="preserve"> die Kosten [</w:t>
            </w:r>
            <w:r>
              <w:rPr>
                <w:rStyle w:val="c5c9461031"/>
              </w:rPr>
              <w:t>für Probenentnahme, Biobanking, Verarbeitung einschließlich DNA-Extraktion, Verpackung und Versand</w:t>
            </w:r>
            <w:r>
              <w:rPr>
                <w:rStyle w:val="normal20"/>
              </w:rPr>
              <w:t>] zu folgendem vereinbarten Satz. [</w:t>
            </w:r>
            <w:r>
              <w:rPr>
                <w:rStyle w:val="c5c9461031"/>
              </w:rPr>
              <w:t>Stückpreis unten anführen</w:t>
            </w:r>
            <w:r>
              <w:rPr>
                <w:rStyle w:val="normal20"/>
              </w:rPr>
              <w:t xml:space="preserve">]] </w:t>
            </w:r>
          </w:p>
          <w:p>
            <w:pPr>
              <w:pStyle w:val="NormalWeb"/>
              <w:spacing w:before="240" w:after="240"/>
            </w:pPr>
            <w:r>
              <w:rPr>
                <w:rStyle w:val="c5c9461041"/>
              </w:rPr>
              <w:t>Option Pauschalbetrag</w:t>
            </w:r>
            <w:r>
              <w:rPr>
                <w:rStyle w:val="normal20"/>
              </w:rPr>
              <w:t xml:space="preserve">: [Die </w:t>
            </w:r>
            <w:r>
              <w:rPr>
                <w:rStyle w:val="c5c9461011"/>
              </w:rPr>
              <w:t>übertragende Partei</w:t>
            </w:r>
            <w:r>
              <w:rPr>
                <w:rStyle w:val="normal20"/>
              </w:rPr>
              <w:t xml:space="preserve"> verrechnet der </w:t>
            </w:r>
            <w:r>
              <w:rPr>
                <w:rStyle w:val="c5c9461011"/>
              </w:rPr>
              <w:t>übernehmenden Partei</w:t>
            </w:r>
            <w:r>
              <w:rPr>
                <w:rStyle w:val="normal20"/>
              </w:rPr>
              <w:t xml:space="preserve"> die Kosten [</w:t>
            </w:r>
            <w:r>
              <w:rPr>
                <w:rStyle w:val="c5c9461031"/>
              </w:rPr>
              <w:t>für Probenentnahme, Biobanking, Verarbeitung einschließlich DNA-Extraktion, Verpackung und Versand</w:t>
            </w:r>
            <w:r>
              <w:rPr>
                <w:rStyle w:val="normal20"/>
              </w:rPr>
              <w:t xml:space="preserve">] zum Gesamt-Pauschalpreis von </w:t>
            </w:r>
            <w:r>
              <w:rPr>
                <w:rStyle w:val="c5c9461061"/>
              </w:rPr>
              <w:t>____</w:t>
            </w:r>
            <w:r>
              <w:rPr>
                <w:rStyle w:val="normal20"/>
              </w:rPr>
              <w:t>(</w:t>
            </w:r>
            <w:r>
              <w:rPr>
                <w:rStyle w:val="c5c9461081"/>
              </w:rPr>
              <w:t>z.B. Euro</w:t>
            </w:r>
            <w:r>
              <w:rPr>
                <w:rStyle w:val="normal20"/>
              </w:rPr>
              <w:t xml:space="preserve">). </w:t>
            </w:r>
          </w:p>
          <w:p>
            <w:pPr>
              <w:pStyle w:val="NormalWeb"/>
              <w:spacing w:before="240" w:after="240"/>
              <w:rPr>
                <w:rFonts w:ascii="Arial" w:hAnsi="Arial" w:cs="Arial"/>
              </w:rPr>
            </w:pPr>
            <w:r>
              <w:rPr>
                <w:rStyle w:val="normal20"/>
              </w:rPr>
              <w:t xml:space="preserve">Die Rechnung ist innerhalb von </w:t>
            </w:r>
            <w:r>
              <w:rPr>
                <w:rStyle w:val="c5c9461061"/>
              </w:rPr>
              <w:t>____</w:t>
            </w:r>
            <w:r>
              <w:rPr>
                <w:rStyle w:val="normal20"/>
              </w:rPr>
              <w:t>(</w:t>
            </w:r>
            <w:r>
              <w:rPr>
                <w:rStyle w:val="c5c9461081"/>
              </w:rPr>
              <w:t>z.B. 30 (dreißig)</w:t>
            </w:r>
            <w:r>
              <w:rPr>
                <w:rStyle w:val="normal20"/>
              </w:rPr>
              <w:t>) Kalendertagen nach Erhalt zahlbar. Bei Überschreitung des vereinbarten Zahlungsziels werden Verzugszinsen in Höhe des 3-Monats-</w:t>
            </w:r>
            <w:proofErr w:type="spellStart"/>
            <w:r>
              <w:rPr>
                <w:rStyle w:val="normal20"/>
              </w:rPr>
              <w:t>EURIBOR</w:t>
            </w:r>
            <w:proofErr w:type="spellEnd"/>
            <w:r>
              <w:rPr>
                <w:rStyle w:val="normal20"/>
              </w:rPr>
              <w:t xml:space="preserve"> plus </w:t>
            </w:r>
            <w:r>
              <w:rPr>
                <w:rStyle w:val="c5c9461061"/>
              </w:rPr>
              <w:t>____</w:t>
            </w:r>
            <w:r>
              <w:rPr>
                <w:rStyle w:val="normal20"/>
              </w:rPr>
              <w:t>(</w:t>
            </w:r>
            <w:r>
              <w:rPr>
                <w:rStyle w:val="c5c9461081"/>
              </w:rPr>
              <w:t>z.B. 9,2</w:t>
            </w:r>
            <w:r>
              <w:rPr>
                <w:rStyle w:val="normal20"/>
              </w:rPr>
              <w:t>)% verrechnet.</w:t>
            </w:r>
          </w:p>
        </w:tc>
        <w:tc>
          <w:tcPr>
            <w:tcW w:w="4644" w:type="dxa"/>
          </w:tcPr>
          <w:p>
            <w:pPr>
              <w:rPr>
                <w:rFonts w:ascii="Arial" w:hAnsi="Arial" w:cs="Arial"/>
              </w:rPr>
            </w:pPr>
          </w:p>
        </w:tc>
      </w:tr>
      <w:tr>
        <w:tc>
          <w:tcPr>
            <w:tcW w:w="4644" w:type="dxa"/>
          </w:tcPr>
          <w:p>
            <w:pPr>
              <w:pStyle w:val="NormalWeb"/>
              <w:spacing w:before="240"/>
              <w:jc w:val="center"/>
            </w:pPr>
            <w:r>
              <w:rPr>
                <w:rStyle w:val="cdb1da1131"/>
              </w:rPr>
              <w:lastRenderedPageBreak/>
              <w:t>11.</w:t>
            </w:r>
          </w:p>
          <w:p>
            <w:pPr>
              <w:pStyle w:val="NormalWeb"/>
              <w:spacing w:after="240"/>
              <w:jc w:val="center"/>
              <w:rPr>
                <w:rFonts w:ascii="Arial" w:hAnsi="Arial" w:cs="Arial"/>
              </w:rPr>
            </w:pPr>
            <w:r>
              <w:rPr>
                <w:rStyle w:val="cdb1da1131"/>
              </w:rPr>
              <w:t>GERICHTSSTAND UND ANWENDBARES RECHT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2"/>
              </w:rPr>
              <w:t>11.1. [</w:t>
            </w:r>
            <w:r>
              <w:rPr>
                <w:rStyle w:val="cdb1da1151"/>
              </w:rPr>
              <w:t>Ausschließlicher</w:t>
            </w:r>
            <w:r>
              <w:rPr>
                <w:rStyle w:val="normal22"/>
              </w:rPr>
              <w:t xml:space="preserve">] Gerichtsstand für Streitigkeiten, Meinungsverschiedenheiten und Ansprüche aus und im Zusammenhang mit dieser </w:t>
            </w:r>
            <w:r>
              <w:rPr>
                <w:rStyle w:val="cdb1da1111"/>
              </w:rPr>
              <w:t>Vereinbarung</w:t>
            </w:r>
            <w:r>
              <w:rPr>
                <w:rStyle w:val="normal22"/>
              </w:rPr>
              <w:t xml:space="preserve">, auch bezüglich ihres Bestehens und nach ihrer Beendigung ist das für Handelssachen zuständige Gericht in </w:t>
            </w:r>
            <w:r>
              <w:rPr>
                <w:rStyle w:val="cdb1da1161"/>
              </w:rPr>
              <w:t>_______</w:t>
            </w:r>
            <w:r>
              <w:rPr>
                <w:rStyle w:val="normal22"/>
              </w:rPr>
              <w:t>(</w:t>
            </w:r>
            <w:r>
              <w:rPr>
                <w:rStyle w:val="cdb1da1151"/>
              </w:rPr>
              <w:t>Ort</w:t>
            </w:r>
            <w:r>
              <w:rPr>
                <w:rStyle w:val="normal22"/>
              </w:rPr>
              <w:t>).</w:t>
            </w:r>
          </w:p>
        </w:tc>
        <w:tc>
          <w:tcPr>
            <w:tcW w:w="4644" w:type="dxa"/>
          </w:tcPr>
          <w:p>
            <w:pPr>
              <w:pStyle w:val="NormalWeb"/>
              <w:spacing w:before="240" w:after="240"/>
              <w:rPr>
                <w:rFonts w:eastAsia="Times New Roman"/>
              </w:rPr>
            </w:pPr>
            <w:r>
              <w:rPr>
                <w:rStyle w:val="normal23"/>
              </w:rPr>
              <w:t xml:space="preserve">Nur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Gibt es keine Regelung zum anwendbaren Recht, so ist nach vielen IPR-Regelungen – das Recht der charakteristischen Leistung anwendbar – das wohl tendenziell das Recht des Bereitstellers ist. </w:t>
            </w:r>
          </w:p>
          <w:p>
            <w:pPr>
              <w:pStyle w:val="NormalWeb"/>
              <w:spacing w:before="240" w:after="240"/>
            </w:pPr>
            <w:r>
              <w:rPr>
                <w:rStyle w:val="normal23"/>
              </w:rPr>
              <w:t>Achtung: Kommt das Recht eines US Bundesstaates zur Anwendung, ist nach Möglichkeit die Zuständigkeit eines „</w:t>
            </w:r>
            <w:proofErr w:type="spellStart"/>
            <w:r>
              <w:rPr>
                <w:rStyle w:val="normal23"/>
              </w:rPr>
              <w:t>jury</w:t>
            </w:r>
            <w:proofErr w:type="spellEnd"/>
            <w:r>
              <w:rPr>
                <w:rStyle w:val="normal23"/>
              </w:rPr>
              <w:t xml:space="preserve"> </w:t>
            </w:r>
            <w:proofErr w:type="spellStart"/>
            <w:r>
              <w:rPr>
                <w:rStyle w:val="normal23"/>
              </w:rPr>
              <w:t>trial</w:t>
            </w:r>
            <w:proofErr w:type="spellEnd"/>
            <w:r>
              <w:rPr>
                <w:rStyle w:val="normal23"/>
              </w:rPr>
              <w:t>“ auszuschließen</w:t>
            </w:r>
          </w:p>
          <w:p>
            <w:pPr>
              <w:pStyle w:val="NormalWeb"/>
              <w:spacing w:before="240" w:after="240"/>
            </w:pPr>
            <w:r>
              <w:rPr>
                <w:rStyle w:val="normal23"/>
              </w:rPr>
              <w:t xml:space="preserve">Wenngleich bestimmte immaterialgüterrechtliche Fragen, z.B. Nichtigkeit eines Patentes, nicht in einem Schiedsverfahren abgehandelt werden können, können dennoch derartige Fragen zumindest mit einem </w:t>
            </w:r>
            <w:proofErr w:type="spellStart"/>
            <w:r>
              <w:rPr>
                <w:rStyle w:val="normal23"/>
              </w:rPr>
              <w:t>inter</w:t>
            </w:r>
            <w:proofErr w:type="spellEnd"/>
            <w:r>
              <w:rPr>
                <w:rStyle w:val="normal23"/>
              </w:rPr>
              <w:t xml:space="preserve"> </w:t>
            </w:r>
            <w:proofErr w:type="spellStart"/>
            <w:r>
              <w:rPr>
                <w:rStyle w:val="normal23"/>
              </w:rPr>
              <w:t>partes</w:t>
            </w:r>
            <w:proofErr w:type="spellEnd"/>
            <w:r>
              <w:rPr>
                <w:rStyle w:val="normal23"/>
              </w:rPr>
              <w:t xml:space="preserve"> </w:t>
            </w:r>
            <w:proofErr w:type="spellStart"/>
            <w:r>
              <w:rPr>
                <w:rStyle w:val="normal23"/>
              </w:rPr>
              <w:t>Effeekt</w:t>
            </w:r>
            <w:proofErr w:type="spellEnd"/>
            <w:r>
              <w:rPr>
                <w:rStyle w:val="normal23"/>
              </w:rPr>
              <w:t xml:space="preserve"> zwischen den Parteien geklärt werden, indem die Parteien ihr Begehren anstelle eines Gültigkeitsbegehrens so formulieren, dass ihnen die Nutzung der patentierten Technologie durch den Patentinhaber gestattet wird (Trevor Cook, Alejandro I. Garcia, International </w:t>
            </w:r>
            <w:proofErr w:type="spellStart"/>
            <w:r>
              <w:rPr>
                <w:rStyle w:val="normal23"/>
              </w:rPr>
              <w:t>Intellectual</w:t>
            </w:r>
            <w:proofErr w:type="spellEnd"/>
            <w:r>
              <w:rPr>
                <w:rStyle w:val="normal23"/>
              </w:rPr>
              <w:t xml:space="preserve"> Property Arbitration (Kluwer Law International 2010), 49-76). </w:t>
            </w:r>
          </w:p>
          <w:p>
            <w:pPr>
              <w:pStyle w:val="NormalWeb"/>
              <w:spacing w:before="240" w:after="240"/>
            </w:pPr>
            <w:r>
              <w:rPr>
                <w:rStyle w:val="normal23"/>
              </w:rPr>
              <w:t>Mediationsverfahren sind nicht-bindende Verfahren, in denen ein neutraler Dritter, der Mediator, die Parteien unterstützt, eine Lösung für ihren Konflikt zu finden.  </w:t>
            </w:r>
          </w:p>
          <w:p>
            <w:pPr>
              <w:pStyle w:val="NormalWeb"/>
              <w:spacing w:before="240" w:after="240"/>
            </w:pPr>
            <w:r>
              <w:rPr>
                <w:rStyle w:val="normal23"/>
              </w:rPr>
              <w:t xml:space="preserve">Schiedsgerichtsverfahren sind förmlichere Verfahren als Mediationsverfahren, in denen die Parteien einem Schiedsgericht, das aus einem oder mehreren Schiedsrichtern besteht, ihren Streit zur Entscheidung </w:t>
            </w:r>
            <w:r>
              <w:rPr>
                <w:rStyle w:val="normal23"/>
              </w:rPr>
              <w:lastRenderedPageBreak/>
              <w:t>unterbreiten.</w:t>
            </w:r>
          </w:p>
          <w:p>
            <w:pPr>
              <w:pStyle w:val="NormalWeb"/>
              <w:spacing w:before="240" w:after="240"/>
            </w:pPr>
            <w:r>
              <w:rPr>
                <w:rStyle w:val="normal23"/>
              </w:rPr>
              <w:t>Beschleunigte Schiedsgerichtsverfahren sind Schiedsgerichtsverfahren, die in einem kürzeren Zeitrahmen und zu geringeren Kosten durchgeführt werden.</w:t>
            </w:r>
          </w:p>
          <w:p>
            <w:pPr>
              <w:pStyle w:val="NormalWeb"/>
              <w:spacing w:before="240" w:after="240"/>
            </w:pPr>
            <w:r>
              <w:rPr>
                <w:rStyle w:val="normal23"/>
              </w:rPr>
              <w:t>Alternative Dispute Resolution (</w:t>
            </w:r>
            <w:proofErr w:type="spellStart"/>
            <w:r>
              <w:rPr>
                <w:rStyle w:val="normal23"/>
              </w:rPr>
              <w:t>ADR</w:t>
            </w:r>
            <w:proofErr w:type="spellEnd"/>
            <w:r>
              <w:rPr>
                <w:rStyle w:val="normal23"/>
              </w:rPr>
              <w:t>) bietet folgende Vorteile, die besonders im Bereich Forschung und Entwicklung und damit zusammenhängenden kommerziellen Transaktionen relevant sind:</w:t>
            </w:r>
          </w:p>
          <w:p>
            <w:pPr>
              <w:pStyle w:val="NormalWeb"/>
              <w:spacing w:before="240" w:after="240"/>
            </w:pPr>
            <w:r>
              <w:rPr>
                <w:rStyle w:val="normal23"/>
              </w:rPr>
              <w:t xml:space="preserve">Parteien mit Streitigkeiten in verschiedenen Ländern können ihren Streit einem einzigen Verfahren unterwerfen. Damit werden Kosten und Risiken von mehreren Gerichtsverfahren in verschiedenen Ländern vermieden, z.B. das Risiko inkonsistenter Entscheidungen über eine Sache durch verschiedene Gerichte. In </w:t>
            </w:r>
            <w:proofErr w:type="spellStart"/>
            <w:r>
              <w:rPr>
                <w:rStyle w:val="normal23"/>
              </w:rPr>
              <w:t>ADR</w:t>
            </w:r>
            <w:proofErr w:type="spellEnd"/>
            <w:r>
              <w:rPr>
                <w:rStyle w:val="normal23"/>
              </w:rPr>
              <w:t xml:space="preserve"> haben die Parteien eine größere Kontrolle über die Verfahrensgestaltung als in Gerichtsverfahren. Sie können einen Mediator, Schiedsrichter oder Experten auswählen, der Spezialist in der Streitsache und in dem jeweiligen </w:t>
            </w:r>
            <w:proofErr w:type="spellStart"/>
            <w:r>
              <w:rPr>
                <w:rStyle w:val="normal23"/>
              </w:rPr>
              <w:t>ADR</w:t>
            </w:r>
            <w:proofErr w:type="spellEnd"/>
            <w:r>
              <w:rPr>
                <w:rStyle w:val="normal23"/>
              </w:rPr>
              <w:t xml:space="preserve"> Verfahren ist. Weiterhin können sie das anwendbare Recht, den Verfahrensort und die Verfahrenssprache bestimmen und auch den zeitlichen Ablauf des Verfahrens mitbestimmen. </w:t>
            </w:r>
            <w:proofErr w:type="spellStart"/>
            <w:r>
              <w:rPr>
                <w:rStyle w:val="normal23"/>
              </w:rPr>
              <w:t>ADR</w:t>
            </w:r>
            <w:proofErr w:type="spellEnd"/>
            <w:r>
              <w:rPr>
                <w:rStyle w:val="normal23"/>
              </w:rPr>
              <w:t xml:space="preserve"> ist neutral hinsichtlich des anwendbaren Rechts, der Sprache oder der institutionellen Gerichtskultur der Parteien, was ein “</w:t>
            </w:r>
            <w:proofErr w:type="spellStart"/>
            <w:r>
              <w:rPr>
                <w:rStyle w:val="normal23"/>
              </w:rPr>
              <w:t>forum</w:t>
            </w:r>
            <w:proofErr w:type="spellEnd"/>
            <w:r>
              <w:rPr>
                <w:rStyle w:val="normal23"/>
              </w:rPr>
              <w:t xml:space="preserve"> </w:t>
            </w:r>
            <w:proofErr w:type="spellStart"/>
            <w:r>
              <w:rPr>
                <w:rStyle w:val="normal23"/>
              </w:rPr>
              <w:t>shopping</w:t>
            </w:r>
            <w:proofErr w:type="spellEnd"/>
            <w:r>
              <w:rPr>
                <w:rStyle w:val="normal23"/>
              </w:rPr>
              <w:t>” zwischen Gerichten in verschiedenen Ländern verhindert.</w:t>
            </w:r>
          </w:p>
          <w:p>
            <w:pPr>
              <w:pStyle w:val="NormalWeb"/>
              <w:spacing w:before="240" w:after="240"/>
              <w:rPr>
                <w:rFonts w:ascii="Arial" w:hAnsi="Arial" w:cs="Arial"/>
              </w:rPr>
            </w:pPr>
            <w:r>
              <w:rPr>
                <w:rStyle w:val="normal23"/>
              </w:rPr>
              <w:t xml:space="preserve">Die </w:t>
            </w:r>
            <w:proofErr w:type="spellStart"/>
            <w:r>
              <w:rPr>
                <w:rStyle w:val="normal23"/>
              </w:rPr>
              <w:t>WIPO</w:t>
            </w:r>
            <w:proofErr w:type="spellEnd"/>
            <w:r>
              <w:rPr>
                <w:rStyle w:val="normal23"/>
              </w:rPr>
              <w:t xml:space="preserve"> Streitbeilegungsregeln sehen vor, dass die Existenz, der Inhalt und das Ergebnis von Schiedsgerichtsverfahren, Mediationen und Gutachterverfahren geheim sind. Diese Vertraulichkeit gestattet den Parteien sich ohne Bedenken hinsichtlich der Öffentlichkeitswirkung auf die Beilegung der Streitigkeit zu konzentrieren, was oft Verhandlungen in gutem Glauben und die Beilegung von Streitigkeiten fördert. Diese Vertraulichkeit ist in Verfahren über innovative Forschungsaktivitäten mit noch geheimen Forschungsergebnissen besonders wichtig. Sie hilft auch dabei, ein gutes Arbeitsverhältnis der Parteien zu erhalten, was bei langjährig geplanter Zusammenarbeit maßgeblich ist.</w:t>
            </w:r>
          </w:p>
        </w:tc>
      </w:tr>
      <w:tr>
        <w:tc>
          <w:tcPr>
            <w:tcW w:w="4644" w:type="dxa"/>
          </w:tcPr>
          <w:p>
            <w:pPr>
              <w:pStyle w:val="NormalWeb"/>
              <w:spacing w:before="240" w:after="240"/>
              <w:rPr>
                <w:rFonts w:ascii="Arial" w:hAnsi="Arial" w:cs="Arial"/>
              </w:rPr>
            </w:pPr>
            <w:r>
              <w:rPr>
                <w:rStyle w:val="normal22"/>
              </w:rPr>
              <w:lastRenderedPageBreak/>
              <w:t xml:space="preserve">11.2. Auf die </w:t>
            </w:r>
            <w:r>
              <w:rPr>
                <w:rStyle w:val="cdb1da1111"/>
              </w:rPr>
              <w:t>Vereinbarung</w:t>
            </w:r>
            <w:r>
              <w:rPr>
                <w:rStyle w:val="normal22"/>
              </w:rPr>
              <w:t xml:space="preserve"> ist österreichisches Recht mit Ausnahme der Verweisungsnormen anwendbar. Die Anwendbarkeit des UN-Kaufrechts (Übereinkommen der Vereinten Nationen über Verträge über den internationalen Warenkauf) wird ausdrücklich ausgeschlossen.</w:t>
            </w:r>
          </w:p>
        </w:tc>
        <w:tc>
          <w:tcPr>
            <w:tcW w:w="4644" w:type="dxa"/>
          </w:tcPr>
          <w:p>
            <w:pPr>
              <w:rPr>
                <w:rFonts w:ascii="Arial" w:hAnsi="Arial" w:cs="Arial"/>
              </w:rPr>
            </w:pPr>
          </w:p>
        </w:tc>
      </w:tr>
      <w:tr>
        <w:tc>
          <w:tcPr>
            <w:tcW w:w="4644" w:type="dxa"/>
          </w:tcPr>
          <w:p>
            <w:pPr>
              <w:pStyle w:val="NormalWeb"/>
              <w:spacing w:before="240" w:after="240"/>
            </w:pPr>
            <w:r>
              <w:rPr>
                <w:rStyle w:val="cdb1da1191"/>
              </w:rPr>
              <w:t>Alternative</w:t>
            </w:r>
            <w:r>
              <w:rPr>
                <w:rStyle w:val="normal22"/>
              </w:rPr>
              <w:t xml:space="preserve">: </w:t>
            </w:r>
            <w:r>
              <w:rPr>
                <w:rStyle w:val="cdb1da1111"/>
              </w:rPr>
              <w:t>Schiedsgerichtsbarkeit:</w:t>
            </w:r>
          </w:p>
          <w:p>
            <w:pPr>
              <w:pStyle w:val="NormalWeb"/>
              <w:spacing w:before="240" w:after="240"/>
            </w:pPr>
            <w:r>
              <w:rPr>
                <w:rStyle w:val="normal22"/>
              </w:rPr>
              <w:t xml:space="preserve">Alle Streitigkeiten, Meinungsverschiedenheiten und Ansprüche aus oder in Zusammenhang mit dieser </w:t>
            </w:r>
            <w:r>
              <w:rPr>
                <w:rStyle w:val="cdb1da1111"/>
              </w:rPr>
              <w:t>Vereinbarung</w:t>
            </w:r>
            <w:r>
              <w:rPr>
                <w:rStyle w:val="normal22"/>
              </w:rPr>
              <w:t xml:space="preserve"> und späteren Änderungen dieser </w:t>
            </w:r>
            <w:r>
              <w:rPr>
                <w:rStyle w:val="cdb1da1111"/>
              </w:rPr>
              <w:t>Vereinbarung</w:t>
            </w:r>
            <w:r>
              <w:rPr>
                <w:rStyle w:val="normal22"/>
              </w:rPr>
              <w:t xml:space="preserve">, insbesondere deren Entstehung, Gültigkeit, bindende Wirkung, Auslegung, Durchführung, Verletzung oder Beendigung, sowie außervertragliche Ansprüche, sind der Schiedsgerichtsbarkeit gemäß den Regeln für das beschleunigte Schiedsgerichtsverfahren der </w:t>
            </w:r>
            <w:proofErr w:type="spellStart"/>
            <w:r>
              <w:rPr>
                <w:rStyle w:val="normal22"/>
              </w:rPr>
              <w:t>WIPO</w:t>
            </w:r>
            <w:proofErr w:type="spellEnd"/>
            <w:r>
              <w:rPr>
                <w:rStyle w:val="normal22"/>
              </w:rPr>
              <w:t xml:space="preserve"> zu unterwerfen und in einem solchen Verfahren endgültig zu entscheiden.</w:t>
            </w:r>
          </w:p>
          <w:p>
            <w:pPr>
              <w:pStyle w:val="NormalWeb"/>
              <w:spacing w:before="240" w:after="240"/>
              <w:rPr>
                <w:rFonts w:ascii="Arial" w:hAnsi="Arial" w:cs="Arial"/>
              </w:rPr>
            </w:pPr>
            <w:r>
              <w:rPr>
                <w:rStyle w:val="normal22"/>
              </w:rPr>
              <w:t xml:space="preserve">Das Schiedsgericht besteht aus einem/einer Einzelschiedsrichter(in). Der Ort des Schiedsgerichtsverfahrens ist </w:t>
            </w:r>
            <w:r>
              <w:rPr>
                <w:rStyle w:val="cdb1da1161"/>
              </w:rPr>
              <w:t>_______</w:t>
            </w:r>
            <w:r>
              <w:rPr>
                <w:rStyle w:val="normal22"/>
              </w:rPr>
              <w:t>(</w:t>
            </w:r>
            <w:r>
              <w:rPr>
                <w:rStyle w:val="cdb1da1151"/>
              </w:rPr>
              <w:t>Ort</w:t>
            </w:r>
            <w:r>
              <w:rPr>
                <w:rStyle w:val="normal22"/>
              </w:rPr>
              <w:t xml:space="preserve">). Die im Schiedsgerichtsverfahren zu verwendende Sprache ist </w:t>
            </w:r>
            <w:r>
              <w:rPr>
                <w:rStyle w:val="cdb1da1161"/>
              </w:rPr>
              <w:t>_______</w:t>
            </w:r>
            <w:r>
              <w:rPr>
                <w:rStyle w:val="normal22"/>
              </w:rPr>
              <w:t>(</w:t>
            </w:r>
            <w:r>
              <w:rPr>
                <w:rStyle w:val="cdb1da1151"/>
              </w:rPr>
              <w:t>z.B. Deutsch</w:t>
            </w:r>
            <w:r>
              <w:rPr>
                <w:rStyle w:val="normal22"/>
              </w:rPr>
              <w:t xml:space="preserve">). Die Streitigkeit, die Meinungsverschiedenheit oder der Anspruch wird nach dem Recht von </w:t>
            </w:r>
            <w:r>
              <w:rPr>
                <w:rStyle w:val="cdb1da1161"/>
              </w:rPr>
              <w:t>_____</w:t>
            </w:r>
            <w:r>
              <w:rPr>
                <w:rStyle w:val="normal22"/>
              </w:rPr>
              <w:t>(</w:t>
            </w:r>
            <w:r>
              <w:rPr>
                <w:rStyle w:val="cdb1da1151"/>
              </w:rPr>
              <w:t>Land</w:t>
            </w:r>
            <w:r>
              <w:rPr>
                <w:rStyle w:val="normal22"/>
              </w:rPr>
              <w:t>) entschieden.</w:t>
            </w:r>
          </w:p>
        </w:tc>
        <w:tc>
          <w:tcPr>
            <w:tcW w:w="4644" w:type="dxa"/>
          </w:tcPr>
          <w:p>
            <w:pPr>
              <w:rPr>
                <w:rFonts w:ascii="Arial" w:hAnsi="Arial" w:cs="Arial"/>
              </w:rPr>
            </w:pPr>
          </w:p>
        </w:tc>
      </w:tr>
      <w:tr>
        <w:tc>
          <w:tcPr>
            <w:tcW w:w="4644" w:type="dxa"/>
          </w:tcPr>
          <w:p>
            <w:pPr>
              <w:pStyle w:val="NormalWeb"/>
              <w:spacing w:before="240" w:after="240"/>
            </w:pPr>
            <w:r>
              <w:rPr>
                <w:rStyle w:val="cdb1da1191"/>
              </w:rPr>
              <w:t>Alternative</w:t>
            </w:r>
            <w:r>
              <w:rPr>
                <w:rStyle w:val="normal22"/>
              </w:rPr>
              <w:t xml:space="preserve">: </w:t>
            </w:r>
            <w:r>
              <w:rPr>
                <w:rStyle w:val="cdb1da1111"/>
              </w:rPr>
              <w:t>Schiedsgerichtsbarkeit und Mediation:</w:t>
            </w:r>
          </w:p>
          <w:p>
            <w:pPr>
              <w:pStyle w:val="NormalWeb"/>
              <w:spacing w:before="240" w:after="240"/>
            </w:pPr>
            <w:r>
              <w:rPr>
                <w:rStyle w:val="normal22"/>
              </w:rPr>
              <w:t xml:space="preserve">Alle Streitigkeiten, Meinungsverschiedenheiten und Ansprüche aus oder in Zusammenhang mit dieser </w:t>
            </w:r>
            <w:r>
              <w:rPr>
                <w:rStyle w:val="cdb1da1111"/>
              </w:rPr>
              <w:t>Vereinbarung</w:t>
            </w:r>
            <w:r>
              <w:rPr>
                <w:rStyle w:val="normal22"/>
              </w:rPr>
              <w:t xml:space="preserve"> und späteren Änderungen dieser </w:t>
            </w:r>
            <w:r>
              <w:rPr>
                <w:rStyle w:val="cdb1da1111"/>
              </w:rPr>
              <w:t>Vereinbarung</w:t>
            </w:r>
            <w:r>
              <w:rPr>
                <w:rStyle w:val="normal22"/>
              </w:rPr>
              <w:t xml:space="preserve">, insbesondere deren Entstehung, Gültigkeit, bindende Wirkung, Auslegung, Durchführung, Verletzung oder Beendigung, sowie außervertragliche Ansprüche, sind dem Mediationsverfahren gemäß den Regeln für das Mediationsverfahren der </w:t>
            </w:r>
            <w:proofErr w:type="spellStart"/>
            <w:r>
              <w:rPr>
                <w:rStyle w:val="normal22"/>
              </w:rPr>
              <w:t>WIPO</w:t>
            </w:r>
            <w:proofErr w:type="spellEnd"/>
            <w:r>
              <w:rPr>
                <w:rStyle w:val="normal22"/>
              </w:rPr>
              <w:t xml:space="preserve"> zu unterwerfen. Der Ort des Mediationsverfahrens ist </w:t>
            </w:r>
            <w:r>
              <w:rPr>
                <w:rStyle w:val="cdb1da1161"/>
              </w:rPr>
              <w:t>_______</w:t>
            </w:r>
            <w:r>
              <w:rPr>
                <w:rStyle w:val="normal22"/>
              </w:rPr>
              <w:t>(</w:t>
            </w:r>
            <w:r>
              <w:rPr>
                <w:rStyle w:val="cdb1da1151"/>
              </w:rPr>
              <w:t>Ort</w:t>
            </w:r>
            <w:r>
              <w:rPr>
                <w:rStyle w:val="normal22"/>
              </w:rPr>
              <w:t xml:space="preserve">). Die im Mediationsverfahren zu verwendende </w:t>
            </w:r>
            <w:r>
              <w:rPr>
                <w:rStyle w:val="normal22"/>
              </w:rPr>
              <w:lastRenderedPageBreak/>
              <w:t xml:space="preserve">Sprache ist </w:t>
            </w:r>
            <w:r>
              <w:rPr>
                <w:rStyle w:val="cdb1da1161"/>
              </w:rPr>
              <w:t>_______</w:t>
            </w:r>
            <w:r>
              <w:rPr>
                <w:rStyle w:val="normal22"/>
              </w:rPr>
              <w:t>(</w:t>
            </w:r>
            <w:r>
              <w:rPr>
                <w:rStyle w:val="cdb1da1151"/>
              </w:rPr>
              <w:t>z.B. Deutsch</w:t>
            </w:r>
            <w:r>
              <w:rPr>
                <w:rStyle w:val="normal22"/>
              </w:rPr>
              <w:t>).</w:t>
            </w:r>
          </w:p>
          <w:p>
            <w:pPr>
              <w:pStyle w:val="NormalWeb"/>
              <w:spacing w:before="240" w:after="240"/>
            </w:pPr>
            <w:r>
              <w:rPr>
                <w:rStyle w:val="normal22"/>
              </w:rPr>
              <w:t xml:space="preserve">Falls und insoweit solche Streitigkeiten, Meinungsverschiedenheiten oder Ansprüche nicht innerhalb von 60 (sechzig) Tagen ab Beginn des Mediationsverfahrens beigelegt werden, sind sie nach Einreichung eines Schiedsantrags einer </w:t>
            </w:r>
            <w:r>
              <w:rPr>
                <w:rStyle w:val="cdb1da1111"/>
              </w:rPr>
              <w:t>Partei</w:t>
            </w:r>
            <w:r>
              <w:rPr>
                <w:rStyle w:val="normal22"/>
              </w:rPr>
              <w:t xml:space="preserve"> einem Schiedsgerichtsverfahren gemäß den Regeln für das beschleunigte Schiedsgerichtsverfahren der </w:t>
            </w:r>
            <w:proofErr w:type="spellStart"/>
            <w:r>
              <w:rPr>
                <w:rStyle w:val="normal22"/>
              </w:rPr>
              <w:t>WIPO</w:t>
            </w:r>
            <w:proofErr w:type="spellEnd"/>
            <w:r>
              <w:rPr>
                <w:rStyle w:val="normal22"/>
              </w:rPr>
              <w:t xml:space="preserve"> zu unterwerfen und in einem solchen Verfahren endgültig zu entscheiden. </w:t>
            </w:r>
          </w:p>
          <w:p>
            <w:pPr>
              <w:pStyle w:val="NormalWeb"/>
              <w:spacing w:before="240" w:after="240"/>
            </w:pPr>
            <w:r>
              <w:rPr>
                <w:rStyle w:val="normal22"/>
              </w:rPr>
              <w:t xml:space="preserve">Alternativ ist, wenn vor Ablauf der genannten Frist von 60 (sechzig) Tagen eine </w:t>
            </w:r>
            <w:r>
              <w:rPr>
                <w:rStyle w:val="cdb1da1111"/>
              </w:rPr>
              <w:t>Partei</w:t>
            </w:r>
            <w:r>
              <w:rPr>
                <w:rStyle w:val="normal22"/>
              </w:rPr>
              <w:t xml:space="preserve"> nicht oder nicht weiter am Mediationsverfahren teilnimmt, die Streitigkeit, die Meinungsverschiedenheit oder der Anspruch nach Einreichung eines Schiedsantrags einer </w:t>
            </w:r>
            <w:r>
              <w:rPr>
                <w:rStyle w:val="cdb1da1111"/>
              </w:rPr>
              <w:t>Partei</w:t>
            </w:r>
            <w:r>
              <w:rPr>
                <w:rStyle w:val="normal22"/>
              </w:rPr>
              <w:t xml:space="preserve"> einem Schiedsgerichtsverfahren gemäß den Regeln für das beschleunigte Schiedsgerichtsverfahren der </w:t>
            </w:r>
            <w:proofErr w:type="spellStart"/>
            <w:r>
              <w:rPr>
                <w:rStyle w:val="normal22"/>
              </w:rPr>
              <w:t>WIPO</w:t>
            </w:r>
            <w:proofErr w:type="spellEnd"/>
            <w:r>
              <w:rPr>
                <w:rStyle w:val="normal22"/>
              </w:rPr>
              <w:t xml:space="preserve"> zu unterwerfen und in einem solchen Verfahren endgültig zu entscheiden. Das Schiedsgericht besteht aus einem/einer Einzelschiedsrichter(in).</w:t>
            </w:r>
          </w:p>
          <w:p>
            <w:pPr>
              <w:pStyle w:val="NormalWeb"/>
              <w:spacing w:before="240" w:after="240"/>
              <w:rPr>
                <w:rFonts w:ascii="Arial" w:hAnsi="Arial" w:cs="Arial"/>
              </w:rPr>
            </w:pPr>
            <w:r>
              <w:rPr>
                <w:rStyle w:val="normal22"/>
              </w:rPr>
              <w:t xml:space="preserve">Der Ort des Schiedsgerichtsverfahrens ist </w:t>
            </w:r>
            <w:r>
              <w:rPr>
                <w:rStyle w:val="cdb1da1161"/>
              </w:rPr>
              <w:t>_______</w:t>
            </w:r>
            <w:r>
              <w:rPr>
                <w:rStyle w:val="normal22"/>
              </w:rPr>
              <w:t>(</w:t>
            </w:r>
            <w:r>
              <w:rPr>
                <w:rStyle w:val="cdb1da1151"/>
              </w:rPr>
              <w:t>Ort</w:t>
            </w:r>
            <w:r>
              <w:rPr>
                <w:rStyle w:val="normal22"/>
              </w:rPr>
              <w:t xml:space="preserve">). Die im Schiedsgerichtsverfahren zu verwendende Sprache ist </w:t>
            </w:r>
            <w:r>
              <w:rPr>
                <w:rStyle w:val="cdb1da1161"/>
              </w:rPr>
              <w:t>_______</w:t>
            </w:r>
            <w:r>
              <w:rPr>
                <w:rStyle w:val="normal22"/>
              </w:rPr>
              <w:t>(</w:t>
            </w:r>
            <w:r>
              <w:rPr>
                <w:rStyle w:val="cdb1da1151"/>
              </w:rPr>
              <w:t>z.B. Deutsch</w:t>
            </w:r>
            <w:r>
              <w:rPr>
                <w:rStyle w:val="normal22"/>
              </w:rPr>
              <w:t xml:space="preserve">). Die Streitigkeit, die Meinungsverschiedenheit oder der Anspruch, die bzw. der einem Schiedsgerichtsverfahren unterworfen wurde, wird nach dem Recht von </w:t>
            </w:r>
            <w:r>
              <w:rPr>
                <w:rStyle w:val="cdb1da1161"/>
              </w:rPr>
              <w:t>_____</w:t>
            </w:r>
            <w:r>
              <w:rPr>
                <w:rStyle w:val="normal22"/>
              </w:rPr>
              <w:t>(</w:t>
            </w:r>
            <w:r>
              <w:rPr>
                <w:rStyle w:val="cdb1da1151"/>
              </w:rPr>
              <w:t>Land</w:t>
            </w:r>
            <w:r>
              <w:rPr>
                <w:rStyle w:val="normal22"/>
              </w:rPr>
              <w:t>) entschieden.</w:t>
            </w:r>
          </w:p>
        </w:tc>
        <w:tc>
          <w:tcPr>
            <w:tcW w:w="4644" w:type="dxa"/>
          </w:tcPr>
          <w:p>
            <w:pPr>
              <w:rPr>
                <w:rFonts w:ascii="Arial" w:hAnsi="Arial" w:cs="Arial"/>
              </w:rPr>
            </w:pPr>
          </w:p>
        </w:tc>
      </w:tr>
      <w:tr>
        <w:tc>
          <w:tcPr>
            <w:tcW w:w="4644" w:type="dxa"/>
          </w:tcPr>
          <w:p>
            <w:pPr>
              <w:pStyle w:val="NormalWeb"/>
              <w:spacing w:before="240" w:after="240"/>
              <w:jc w:val="center"/>
              <w:rPr>
                <w:rFonts w:ascii="Arial" w:hAnsi="Arial" w:cs="Arial"/>
              </w:rPr>
            </w:pPr>
            <w:r>
              <w:rPr>
                <w:rFonts w:ascii="Arial" w:hAnsi="Arial" w:cs="Arial"/>
                <w:b/>
                <w:bCs/>
              </w:rPr>
              <w:lastRenderedPageBreak/>
              <w:t>12.</w:t>
            </w:r>
            <w:r>
              <w:rPr>
                <w:rFonts w:ascii="Arial" w:hAnsi="Arial" w:cs="Arial"/>
                <w:b/>
                <w:bCs/>
              </w:rPr>
              <w:br/>
              <w:t>DATENSCHUTZ</w:t>
            </w:r>
          </w:p>
        </w:tc>
        <w:tc>
          <w:tcPr>
            <w:tcW w:w="4644" w:type="dxa"/>
          </w:tcPr>
          <w:p>
            <w:pPr>
              <w:rPr>
                <w:rFonts w:ascii="Arial" w:hAnsi="Arial" w:cs="Arial"/>
              </w:rPr>
            </w:pPr>
          </w:p>
        </w:tc>
      </w:tr>
      <w:tr>
        <w:tc>
          <w:tcPr>
            <w:tcW w:w="4644" w:type="dxa"/>
          </w:tcPr>
          <w:p>
            <w:pPr>
              <w:pStyle w:val="NormalWeb"/>
              <w:spacing w:before="240" w:after="240"/>
              <w:rPr>
                <w:rFonts w:ascii="Arial" w:hAnsi="Arial" w:cs="Arial"/>
                <w:sz w:val="22"/>
                <w:szCs w:val="22"/>
              </w:rPr>
            </w:pPr>
            <w:r>
              <w:rPr>
                <w:rFonts w:ascii="Arial" w:hAnsi="Arial" w:cs="Arial"/>
                <w:sz w:val="22"/>
                <w:szCs w:val="22"/>
              </w:rPr>
              <w:t xml:space="preserve">12.1. Stellt eine Partei (offenbarende Partei) der anderen Partei (Empfänger) im Rahmen dieser Vereinbarung personenbezogene Daten gemäß Artikel 4 </w:t>
            </w:r>
            <w:proofErr w:type="spellStart"/>
            <w:r>
              <w:rPr>
                <w:rFonts w:ascii="Arial" w:hAnsi="Arial" w:cs="Arial"/>
                <w:sz w:val="22"/>
                <w:szCs w:val="22"/>
              </w:rPr>
              <w:t>Abs</w:t>
            </w:r>
            <w:proofErr w:type="spellEnd"/>
            <w:r>
              <w:rPr>
                <w:rFonts w:ascii="Arial" w:hAnsi="Arial" w:cs="Arial"/>
                <w:sz w:val="22"/>
                <w:szCs w:val="22"/>
              </w:rPr>
              <w:t xml:space="preserve"> 1 der Datenschutzgrundverordnung (</w:t>
            </w:r>
            <w:proofErr w:type="spellStart"/>
            <w:r>
              <w:rPr>
                <w:rFonts w:ascii="Arial" w:hAnsi="Arial" w:cs="Arial"/>
                <w:sz w:val="22"/>
                <w:szCs w:val="22"/>
              </w:rPr>
              <w:t>DSGVO</w:t>
            </w:r>
            <w:proofErr w:type="spellEnd"/>
            <w:r>
              <w:rPr>
                <w:rFonts w:ascii="Arial" w:hAnsi="Arial" w:cs="Arial"/>
                <w:sz w:val="22"/>
                <w:szCs w:val="22"/>
              </w:rPr>
              <w:t xml:space="preserve">) zur Verfügung oder erlangt der Empfänger auf sonstige Weise Kenntnis von personenbezogenen Daten der offenbarenden Partei und werden diese personenbezogenen Daten nicht im Auftrag der offenbarenden Partei verarbeitet, dürfen diese personenbezogenen Daten vom </w:t>
            </w:r>
            <w:r>
              <w:rPr>
                <w:rFonts w:ascii="Arial" w:hAnsi="Arial" w:cs="Arial"/>
                <w:sz w:val="22"/>
                <w:szCs w:val="22"/>
              </w:rPr>
              <w:lastRenderedPageBreak/>
              <w:t xml:space="preserve">Empfänger ausschließlich in Erfüllung dieses Vertrages und nicht – außer gesetzlich ausdrücklich zulässig – anderweitig verarbeitet werden, insbesondere dürfen sie nicht gegenüber Dritten offengelegt und/oder für eigene Zwecke analysiert und/oder zu </w:t>
            </w:r>
            <w:proofErr w:type="spellStart"/>
            <w:r>
              <w:rPr>
                <w:rFonts w:ascii="Arial" w:hAnsi="Arial" w:cs="Arial"/>
                <w:sz w:val="22"/>
                <w:szCs w:val="22"/>
              </w:rPr>
              <w:t>Profilingzwecken</w:t>
            </w:r>
            <w:proofErr w:type="spellEnd"/>
            <w:r>
              <w:rPr>
                <w:rFonts w:ascii="Arial" w:hAnsi="Arial" w:cs="Arial"/>
                <w:sz w:val="22"/>
                <w:szCs w:val="22"/>
              </w:rPr>
              <w:t xml:space="preserve"> genutzt werden.</w:t>
            </w:r>
          </w:p>
        </w:tc>
        <w:tc>
          <w:tcPr>
            <w:tcW w:w="4644" w:type="dxa"/>
          </w:tcPr>
          <w:p>
            <w:pPr>
              <w:rPr>
                <w:rFonts w:ascii="Arial" w:hAnsi="Arial" w:cs="Arial"/>
              </w:rPr>
            </w:pPr>
          </w:p>
        </w:tc>
      </w:tr>
      <w:tr>
        <w:tc>
          <w:tcPr>
            <w:tcW w:w="4644" w:type="dxa"/>
          </w:tcPr>
          <w:p>
            <w:pPr>
              <w:pStyle w:val="NormalWeb"/>
              <w:spacing w:before="240" w:after="240"/>
              <w:rPr>
                <w:rFonts w:ascii="Arial" w:hAnsi="Arial" w:cs="Arial"/>
                <w:sz w:val="22"/>
                <w:szCs w:val="22"/>
              </w:rPr>
            </w:pPr>
            <w:r>
              <w:rPr>
                <w:rFonts w:ascii="Arial" w:hAnsi="Arial" w:cs="Arial"/>
                <w:sz w:val="22"/>
                <w:szCs w:val="22"/>
              </w:rPr>
              <w:lastRenderedPageBreak/>
              <w:t>12.2. Der Empfänger stellt sicher, dass die personenbezogenen Daten der offenbarenden Partei nur denjenigen seiner Mitarbeiter zugänglich gemacht werden, die sie im Rahmen der Erfüllung dieser Vereinbarung unbedingt kennen müssen.</w:t>
            </w:r>
          </w:p>
        </w:tc>
        <w:tc>
          <w:tcPr>
            <w:tcW w:w="4644" w:type="dxa"/>
          </w:tcPr>
          <w:p>
            <w:pPr>
              <w:pStyle w:val="NormalWeb"/>
              <w:spacing w:before="240" w:after="240"/>
              <w:rPr>
                <w:rFonts w:ascii="Arial" w:hAnsi="Arial" w:cs="Arial"/>
                <w:sz w:val="22"/>
                <w:szCs w:val="22"/>
              </w:rPr>
            </w:pPr>
          </w:p>
        </w:tc>
      </w:tr>
      <w:tr>
        <w:tc>
          <w:tcPr>
            <w:tcW w:w="4644" w:type="dxa"/>
          </w:tcPr>
          <w:p>
            <w:pPr>
              <w:pStyle w:val="NormalWeb"/>
              <w:spacing w:before="240" w:after="240"/>
              <w:rPr>
                <w:rFonts w:ascii="Arial" w:hAnsi="Arial" w:cs="Arial"/>
                <w:sz w:val="22"/>
                <w:szCs w:val="22"/>
              </w:rPr>
            </w:pPr>
            <w:r>
              <w:rPr>
                <w:rFonts w:ascii="Arial" w:hAnsi="Arial" w:cs="Arial"/>
                <w:sz w:val="22"/>
                <w:szCs w:val="22"/>
              </w:rPr>
              <w:t>12.3. 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tc>
        <w:tc>
          <w:tcPr>
            <w:tcW w:w="4644" w:type="dxa"/>
          </w:tcPr>
          <w:p>
            <w:pPr>
              <w:pStyle w:val="NormalWeb"/>
              <w:spacing w:before="240" w:after="240"/>
              <w:rPr>
                <w:rFonts w:ascii="Arial" w:hAnsi="Arial" w:cs="Arial"/>
                <w:sz w:val="22"/>
                <w:szCs w:val="22"/>
              </w:rPr>
            </w:pPr>
          </w:p>
        </w:tc>
      </w:tr>
      <w:tr>
        <w:tc>
          <w:tcPr>
            <w:tcW w:w="4644" w:type="dxa"/>
          </w:tcPr>
          <w:p>
            <w:pPr>
              <w:pStyle w:val="NormalWeb"/>
              <w:spacing w:before="240" w:after="240"/>
              <w:rPr>
                <w:rFonts w:ascii="Arial" w:hAnsi="Arial" w:cs="Arial"/>
                <w:sz w:val="22"/>
                <w:szCs w:val="22"/>
              </w:rPr>
            </w:pPr>
            <w:r>
              <w:rPr>
                <w:rFonts w:ascii="Arial" w:hAnsi="Arial" w:cs="Arial"/>
                <w:sz w:val="22"/>
                <w:szCs w:val="22"/>
              </w:rPr>
              <w:t>12.4. 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tc>
        <w:tc>
          <w:tcPr>
            <w:tcW w:w="4644" w:type="dxa"/>
          </w:tcPr>
          <w:p>
            <w:pPr>
              <w:pStyle w:val="NormalWeb"/>
              <w:spacing w:before="240" w:after="240"/>
              <w:rPr>
                <w:rFonts w:ascii="Arial" w:hAnsi="Arial" w:cs="Arial"/>
                <w:sz w:val="22"/>
                <w:szCs w:val="22"/>
              </w:rPr>
            </w:pPr>
          </w:p>
        </w:tc>
      </w:tr>
      <w:tr>
        <w:tc>
          <w:tcPr>
            <w:tcW w:w="4644" w:type="dxa"/>
          </w:tcPr>
          <w:p>
            <w:pPr>
              <w:pStyle w:val="NormalWeb"/>
              <w:spacing w:before="240"/>
              <w:jc w:val="center"/>
            </w:pPr>
            <w:r>
              <w:rPr>
                <w:rStyle w:val="c63c4d1121"/>
              </w:rPr>
              <w:t>13.</w:t>
            </w:r>
          </w:p>
          <w:p>
            <w:pPr>
              <w:pStyle w:val="NormalWeb"/>
              <w:spacing w:after="240"/>
              <w:jc w:val="center"/>
              <w:rPr>
                <w:rFonts w:ascii="Arial" w:hAnsi="Arial" w:cs="Arial"/>
              </w:rPr>
            </w:pPr>
            <w:r>
              <w:rPr>
                <w:rStyle w:val="c63c4d1121"/>
              </w:rPr>
              <w:t>SCHLUSSBESTIMMUNGEN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t xml:space="preserve">13.1. Sämtliche Rechte und Pflichten aus dieser </w:t>
            </w:r>
            <w:r>
              <w:rPr>
                <w:rStyle w:val="c63c4d1111"/>
              </w:rPr>
              <w:t>Vereinbarung</w:t>
            </w:r>
            <w:r>
              <w:rPr>
                <w:rStyle w:val="normal24"/>
              </w:rPr>
              <w:t xml:space="preserve"> dürfen ohne die vorherige schriftliche Zustimmung der </w:t>
            </w:r>
            <w:r>
              <w:rPr>
                <w:rStyle w:val="c63c4d1111"/>
              </w:rPr>
              <w:t>übertragenden Partei</w:t>
            </w:r>
            <w:r>
              <w:rPr>
                <w:rStyle w:val="normal24"/>
              </w:rPr>
              <w:t xml:space="preserve"> nicht an </w:t>
            </w:r>
            <w:r>
              <w:rPr>
                <w:rStyle w:val="c63c4d1111"/>
              </w:rPr>
              <w:t>Dritte</w:t>
            </w:r>
            <w:r>
              <w:rPr>
                <w:rStyle w:val="normal24"/>
              </w:rPr>
              <w:t xml:space="preserve"> übertragen werden.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lastRenderedPageBreak/>
              <w:t xml:space="preserve">13.2. Diese </w:t>
            </w:r>
            <w:r>
              <w:rPr>
                <w:rStyle w:val="c63c4d1111"/>
              </w:rPr>
              <w:t>Vereinbarung</w:t>
            </w:r>
            <w:r>
              <w:rPr>
                <w:rStyle w:val="normal24"/>
              </w:rPr>
              <w:t xml:space="preserve"> regelt sämtliche Vereinbarungen zwischen den </w:t>
            </w:r>
            <w:r>
              <w:rPr>
                <w:rStyle w:val="c63c4d1111"/>
              </w:rPr>
              <w:t>Parteien</w:t>
            </w:r>
            <w:r>
              <w:rPr>
                <w:rStyle w:val="normal24"/>
              </w:rPr>
              <w:t xml:space="preserve"> bezüglich des </w:t>
            </w:r>
            <w:r>
              <w:rPr>
                <w:rStyle w:val="c63c4d1111"/>
              </w:rPr>
              <w:t>Materials</w:t>
            </w:r>
            <w:r>
              <w:rPr>
                <w:rStyle w:val="normal24"/>
              </w:rPr>
              <w:t xml:space="preserve"> abschließend. Nebenabreden bestehen nicht. Entwürfe, der Unterfertigung vorangehender Schriftverkehr, etc. können für die Auslegung dieser </w:t>
            </w:r>
            <w:r>
              <w:rPr>
                <w:rStyle w:val="c63c4d1111"/>
              </w:rPr>
              <w:t>Vereinbarung</w:t>
            </w:r>
            <w:r>
              <w:rPr>
                <w:rStyle w:val="normal24"/>
              </w:rPr>
              <w:t xml:space="preserve"> nicht herangezogen werden.</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t xml:space="preserve">13.3. Änderungen und Ergänzungen dieser </w:t>
            </w:r>
            <w:r>
              <w:rPr>
                <w:rStyle w:val="c63c4d1111"/>
              </w:rPr>
              <w:t>Vereinbarung</w:t>
            </w:r>
            <w:r>
              <w:rPr>
                <w:rStyle w:val="normal24"/>
              </w:rPr>
              <w:t xml:space="preserve"> bedürfen zu ihrer Wirksamkeit der Schriftform (wobei eine Übermittlung per Telefax oder per E-Mail nicht ausreichend ist). Gleiches gilt für das Abgehen vom Schriftformgebot.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t xml:space="preserve">13.4. Sollten einzelne Bestimmungen dieser </w:t>
            </w:r>
            <w:r>
              <w:rPr>
                <w:rStyle w:val="c63c4d1111"/>
              </w:rPr>
              <w:t>Vereinbarung</w:t>
            </w:r>
            <w:r>
              <w:rPr>
                <w:rStyle w:val="normal24"/>
              </w:rPr>
              <w:t xml:space="preserve"> unwirksam, nichtig, gesetzwidrig oder nicht durchsetzbar sein oder werden, so wird dadurch die Wirksamkeit der übrigen Bestimmungen dieser </w:t>
            </w:r>
            <w:r>
              <w:rPr>
                <w:rStyle w:val="c63c4d1111"/>
              </w:rPr>
              <w:t>Vereinbarung</w:t>
            </w:r>
            <w:r>
              <w:rPr>
                <w:rStyle w:val="normal24"/>
              </w:rPr>
              <w:t xml:space="preserve"> nicht berührt. Anstelle der unwirksamen, nichtigen, gesetzwidrigen oder nicht durchsetzbaren Bestimmung(en) soll eine Regelung gelten, die im Rahmen des rechtlich Möglichen dem ursprünglichen Willen der </w:t>
            </w:r>
            <w:r>
              <w:rPr>
                <w:rStyle w:val="c63c4d1111"/>
              </w:rPr>
              <w:t>Parteien</w:t>
            </w:r>
            <w:r>
              <w:rPr>
                <w:rStyle w:val="normal24"/>
              </w:rPr>
              <w:t xml:space="preserve"> am Nächsten kommt und in ihrer wirtschaftlichen Auswirkung am besten der(den) unwirksamen, nichtigen, gesetzwidrigen oder nicht durchsetzbaren Bestimmung(en) entspricht.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t xml:space="preserve">13.5. Ohne die vorherige Zustimmung der anderen </w:t>
            </w:r>
            <w:r>
              <w:rPr>
                <w:rStyle w:val="c63c4d1111"/>
              </w:rPr>
              <w:t>Partei</w:t>
            </w:r>
            <w:r>
              <w:rPr>
                <w:rStyle w:val="normal24"/>
              </w:rPr>
              <w:t xml:space="preserve"> darf keine </w:t>
            </w:r>
            <w:r>
              <w:rPr>
                <w:rStyle w:val="c63c4d1111"/>
              </w:rPr>
              <w:t>Partei</w:t>
            </w:r>
            <w:r>
              <w:rPr>
                <w:rStyle w:val="normal24"/>
              </w:rPr>
              <w:t xml:space="preserve"> über diese </w:t>
            </w:r>
            <w:r>
              <w:rPr>
                <w:rStyle w:val="c63c4d1111"/>
              </w:rPr>
              <w:t>Vereinbarung</w:t>
            </w:r>
            <w:r>
              <w:rPr>
                <w:rStyle w:val="normal24"/>
              </w:rPr>
              <w:t xml:space="preserve">, Teile davon oder eine damit zusammenhängende Angelegenheit </w:t>
            </w:r>
            <w:r>
              <w:rPr>
                <w:rStyle w:val="c63c4d1111"/>
              </w:rPr>
              <w:t>Dritten</w:t>
            </w:r>
            <w:r>
              <w:rPr>
                <w:rStyle w:val="normal24"/>
              </w:rPr>
              <w:t xml:space="preserve"> Mitteilung machen, es sei denn, sie ist dazu auf Grund gesetzlicher Vorschriften verpflichtet. Das gilt nicht für die Tatsache des Abschlusses dieser </w:t>
            </w:r>
            <w:r>
              <w:rPr>
                <w:rStyle w:val="c63c4d1111"/>
              </w:rPr>
              <w:t>Vereinbarung</w:t>
            </w:r>
            <w:r>
              <w:rPr>
                <w:rStyle w:val="normal24"/>
              </w:rPr>
              <w:t xml:space="preserve"> über die Überlassung von </w:t>
            </w:r>
            <w:r>
              <w:rPr>
                <w:rStyle w:val="c63c4d1111"/>
              </w:rPr>
              <w:t>Material</w:t>
            </w:r>
            <w:r>
              <w:rPr>
                <w:rStyle w:val="normal24"/>
              </w:rPr>
              <w:t xml:space="preserve"> als solche.</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t xml:space="preserve">13.6. Mit dieser </w:t>
            </w:r>
            <w:r>
              <w:rPr>
                <w:rStyle w:val="c63c4d1111"/>
              </w:rPr>
              <w:t>Vereinbarung</w:t>
            </w:r>
            <w:r>
              <w:rPr>
                <w:rStyle w:val="normal24"/>
              </w:rPr>
              <w:t xml:space="preserve"> allenfalls verbundene Rechtsgeschäftsgebühren oder ähnliche Abgaben werden von der [</w:t>
            </w:r>
            <w:r>
              <w:rPr>
                <w:rStyle w:val="c63c4d1131"/>
              </w:rPr>
              <w:t>übertragenden Partei</w:t>
            </w:r>
            <w:r>
              <w:rPr>
                <w:rStyle w:val="normal24"/>
              </w:rPr>
              <w:t>] [</w:t>
            </w:r>
            <w:r>
              <w:rPr>
                <w:rStyle w:val="c63c4d1131"/>
              </w:rPr>
              <w:t>übernehmenden Partei</w:t>
            </w:r>
            <w:r>
              <w:rPr>
                <w:rStyle w:val="normal24"/>
              </w:rPr>
              <w:t>] (</w:t>
            </w:r>
            <w:r>
              <w:rPr>
                <w:rStyle w:val="c63c4d1161"/>
              </w:rPr>
              <w:t>Alternative wählen</w:t>
            </w:r>
            <w:r>
              <w:rPr>
                <w:rStyle w:val="normal24"/>
              </w:rPr>
              <w:t xml:space="preserve">) getragen. Die Kosten rechtsfreundlicher Beratung trägt jede </w:t>
            </w:r>
            <w:r>
              <w:rPr>
                <w:rStyle w:val="c63c4d1111"/>
              </w:rPr>
              <w:t>Partei</w:t>
            </w:r>
            <w:r>
              <w:rPr>
                <w:rStyle w:val="normal24"/>
              </w:rPr>
              <w:t xml:space="preserve"> selbst.</w:t>
            </w:r>
          </w:p>
        </w:tc>
        <w:tc>
          <w:tcPr>
            <w:tcW w:w="4644" w:type="dxa"/>
          </w:tcPr>
          <w:p>
            <w:pPr>
              <w:rPr>
                <w:rFonts w:ascii="Arial" w:hAnsi="Arial" w:cs="Arial"/>
              </w:rPr>
            </w:pPr>
          </w:p>
        </w:tc>
      </w:tr>
      <w:tr>
        <w:tc>
          <w:tcPr>
            <w:tcW w:w="4644" w:type="dxa"/>
          </w:tcPr>
          <w:p>
            <w:pPr>
              <w:pStyle w:val="NormalWeb"/>
              <w:spacing w:before="240" w:after="240"/>
              <w:rPr>
                <w:rFonts w:ascii="Arial" w:hAnsi="Arial" w:cs="Arial"/>
              </w:rPr>
            </w:pPr>
            <w:r>
              <w:rPr>
                <w:rStyle w:val="normal24"/>
              </w:rPr>
              <w:lastRenderedPageBreak/>
              <w:t xml:space="preserve">13.7. Diese </w:t>
            </w:r>
            <w:r>
              <w:rPr>
                <w:rStyle w:val="c63c4d1111"/>
              </w:rPr>
              <w:t>Vereinbarung</w:t>
            </w:r>
            <w:r>
              <w:rPr>
                <w:rStyle w:val="normal24"/>
              </w:rPr>
              <w:t xml:space="preserve"> wird in 2 (zwei) Ausfertigungen unterfertigt, von denen jede als Original gilt und von denen jede </w:t>
            </w:r>
            <w:r>
              <w:rPr>
                <w:rStyle w:val="c63c4d1111"/>
              </w:rPr>
              <w:t>Partei</w:t>
            </w:r>
            <w:r>
              <w:rPr>
                <w:rStyle w:val="normal24"/>
              </w:rPr>
              <w:t xml:space="preserve"> eine erhält.</w:t>
            </w:r>
          </w:p>
        </w:tc>
        <w:tc>
          <w:tcPr>
            <w:tcW w:w="4644" w:type="dxa"/>
          </w:tcPr>
          <w:p>
            <w:pPr>
              <w:rPr>
                <w:rFonts w:ascii="Arial" w:hAnsi="Arial" w:cs="Arial"/>
              </w:rPr>
            </w:pPr>
          </w:p>
        </w:tc>
      </w:tr>
      <w:tr>
        <w:tc>
          <w:tcPr>
            <w:tcW w:w="4644" w:type="dxa"/>
          </w:tcPr>
          <w:p>
            <w:pPr>
              <w:pStyle w:val="NormalWeb"/>
              <w:spacing w:before="240"/>
              <w:jc w:val="center"/>
            </w:pPr>
            <w:r>
              <w:rPr>
                <w:rStyle w:val="cc9c571181"/>
              </w:rPr>
              <w:t>14.</w:t>
            </w:r>
          </w:p>
          <w:p>
            <w:pPr>
              <w:pStyle w:val="NormalWeb"/>
              <w:spacing w:after="240"/>
              <w:jc w:val="center"/>
              <w:rPr>
                <w:rFonts w:ascii="Arial" w:hAnsi="Arial" w:cs="Arial"/>
              </w:rPr>
            </w:pPr>
            <w:r>
              <w:rPr>
                <w:rStyle w:val="cc9c571181"/>
              </w:rPr>
              <w:t>KONTAKTPERSONEN</w:t>
            </w:r>
          </w:p>
        </w:tc>
        <w:tc>
          <w:tcPr>
            <w:tcW w:w="4644" w:type="dxa"/>
          </w:tcPr>
          <w:p>
            <w:pPr>
              <w:rPr>
                <w:rFonts w:ascii="Arial" w:hAnsi="Arial" w:cs="Arial"/>
              </w:rPr>
            </w:pPr>
          </w:p>
        </w:tc>
      </w:tr>
      <w:tr>
        <w:tc>
          <w:tcPr>
            <w:tcW w:w="4644" w:type="dxa"/>
          </w:tcPr>
          <w:p>
            <w:pPr>
              <w:pStyle w:val="NormalWeb"/>
              <w:spacing w:before="240" w:after="240"/>
            </w:pPr>
            <w:r>
              <w:rPr>
                <w:rStyle w:val="normal25"/>
              </w:rPr>
              <w:t xml:space="preserve">Kontaktperson bei der </w:t>
            </w:r>
            <w:r>
              <w:rPr>
                <w:rStyle w:val="cc9c571171"/>
              </w:rPr>
              <w:t>übernehmenden Partei</w:t>
            </w:r>
            <w:r>
              <w:rPr>
                <w:rStyle w:val="normal25"/>
              </w:rPr>
              <w:t>:</w:t>
            </w:r>
          </w:p>
          <w:p>
            <w:pPr>
              <w:pStyle w:val="NormalWeb"/>
            </w:pPr>
            <w:r>
              <w:rPr>
                <w:rStyle w:val="normal25"/>
              </w:rPr>
              <w:t>Name:</w:t>
            </w:r>
            <w:r>
              <w:rPr>
                <w:rStyle w:val="cc9c571191"/>
              </w:rPr>
              <w:t>____________</w:t>
            </w:r>
          </w:p>
          <w:p>
            <w:pPr>
              <w:pStyle w:val="NormalWeb"/>
            </w:pPr>
            <w:r>
              <w:rPr>
                <w:rStyle w:val="normal25"/>
              </w:rPr>
              <w:t>Adresse:</w:t>
            </w:r>
            <w:r>
              <w:rPr>
                <w:rStyle w:val="cc9c571191"/>
              </w:rPr>
              <w:t>____________</w:t>
            </w:r>
          </w:p>
          <w:p>
            <w:pPr>
              <w:pStyle w:val="NormalWeb"/>
            </w:pPr>
            <w:r>
              <w:rPr>
                <w:rStyle w:val="normal25"/>
              </w:rPr>
              <w:t>Mail:</w:t>
            </w:r>
            <w:r>
              <w:rPr>
                <w:rStyle w:val="cc9c571191"/>
              </w:rPr>
              <w:t>____________</w:t>
            </w:r>
          </w:p>
          <w:p>
            <w:pPr>
              <w:pStyle w:val="NormalWeb"/>
            </w:pPr>
            <w:r>
              <w:rPr>
                <w:rStyle w:val="normal25"/>
              </w:rPr>
              <w:t>Telefon:</w:t>
            </w:r>
            <w:r>
              <w:rPr>
                <w:rStyle w:val="cc9c571191"/>
              </w:rPr>
              <w:t>____________</w:t>
            </w:r>
          </w:p>
          <w:p>
            <w:pPr>
              <w:pStyle w:val="NormalWeb"/>
              <w:spacing w:before="240" w:after="240"/>
            </w:pPr>
            <w:r>
              <w:rPr>
                <w:rStyle w:val="normal25"/>
              </w:rPr>
              <w:t xml:space="preserve">Kontaktperson bei der </w:t>
            </w:r>
            <w:r>
              <w:rPr>
                <w:rStyle w:val="cc9c571171"/>
              </w:rPr>
              <w:t>übertragenden Partei</w:t>
            </w:r>
            <w:r>
              <w:rPr>
                <w:rStyle w:val="normal25"/>
              </w:rPr>
              <w:t>:</w:t>
            </w:r>
          </w:p>
          <w:p>
            <w:pPr>
              <w:pStyle w:val="NormalWeb"/>
            </w:pPr>
            <w:r>
              <w:rPr>
                <w:rStyle w:val="normal25"/>
              </w:rPr>
              <w:t>Name:</w:t>
            </w:r>
            <w:r>
              <w:rPr>
                <w:rStyle w:val="cc9c571191"/>
              </w:rPr>
              <w:t>____________</w:t>
            </w:r>
          </w:p>
          <w:p>
            <w:pPr>
              <w:pStyle w:val="NormalWeb"/>
            </w:pPr>
            <w:r>
              <w:rPr>
                <w:rStyle w:val="normal25"/>
              </w:rPr>
              <w:t>Adresse:</w:t>
            </w:r>
            <w:r>
              <w:rPr>
                <w:rStyle w:val="cc9c571191"/>
              </w:rPr>
              <w:t>____________</w:t>
            </w:r>
          </w:p>
          <w:p>
            <w:pPr>
              <w:pStyle w:val="NormalWeb"/>
            </w:pPr>
            <w:r>
              <w:rPr>
                <w:rStyle w:val="normal25"/>
              </w:rPr>
              <w:t>Mail:</w:t>
            </w:r>
            <w:r>
              <w:rPr>
                <w:rStyle w:val="cc9c571191"/>
              </w:rPr>
              <w:t>____________</w:t>
            </w:r>
          </w:p>
          <w:p>
            <w:pPr>
              <w:pStyle w:val="NormalWeb"/>
            </w:pPr>
            <w:r>
              <w:rPr>
                <w:rStyle w:val="normal25"/>
              </w:rPr>
              <w:t>Telefon:</w:t>
            </w:r>
            <w:r>
              <w:rPr>
                <w:rStyle w:val="cc9c571191"/>
              </w:rPr>
              <w:t>____________</w:t>
            </w:r>
          </w:p>
          <w:p>
            <w:pPr>
              <w:pStyle w:val="NormalWeb"/>
              <w:spacing w:before="240" w:after="240"/>
              <w:rPr>
                <w:rFonts w:ascii="Arial" w:hAnsi="Arial" w:cs="Arial"/>
              </w:rPr>
            </w:pPr>
            <w:r>
              <w:rPr>
                <w:rStyle w:val="normal25"/>
              </w:rPr>
              <w:t xml:space="preserve">Sämtliche Änderungen der Kontaktdaten sind der jeweils anderen </w:t>
            </w:r>
            <w:r>
              <w:rPr>
                <w:rStyle w:val="cc9c571171"/>
              </w:rPr>
              <w:t>Partei</w:t>
            </w:r>
            <w:r>
              <w:rPr>
                <w:rStyle w:val="normal25"/>
              </w:rPr>
              <w:t> umgehend mitzuteilen. Andernfalls gelten alle Erklärungen jedenfalls als ordnungsgemäß zugestellt.</w:t>
            </w:r>
          </w:p>
        </w:tc>
        <w:tc>
          <w:tcPr>
            <w:tcW w:w="4644" w:type="dxa"/>
          </w:tcPr>
          <w:p>
            <w:pPr>
              <w:rPr>
                <w:rFonts w:ascii="Arial" w:hAnsi="Arial" w:cs="Arial"/>
              </w:rPr>
            </w:pPr>
          </w:p>
        </w:tc>
      </w:tr>
      <w:tr>
        <w:tc>
          <w:tcPr>
            <w:tcW w:w="4644" w:type="dxa"/>
          </w:tcPr>
          <w:p>
            <w:pPr>
              <w:pStyle w:val="NormalWeb"/>
              <w:spacing w:before="240"/>
              <w:jc w:val="center"/>
            </w:pPr>
            <w:r>
              <w:rPr>
                <w:rStyle w:val="c5530a1211"/>
              </w:rPr>
              <w:t>15.</w:t>
            </w:r>
          </w:p>
          <w:p>
            <w:pPr>
              <w:spacing w:after="240"/>
              <w:jc w:val="center"/>
              <w:rPr>
                <w:rFonts w:ascii="Arial" w:hAnsi="Arial" w:cs="Arial"/>
              </w:rPr>
            </w:pPr>
            <w:r>
              <w:rPr>
                <w:rStyle w:val="c5530a1211"/>
              </w:rPr>
              <w:t>ANLAGEN</w:t>
            </w:r>
          </w:p>
        </w:tc>
        <w:tc>
          <w:tcPr>
            <w:tcW w:w="4644" w:type="dxa"/>
          </w:tcPr>
          <w:p>
            <w:pPr>
              <w:rPr>
                <w:rFonts w:ascii="Arial" w:hAnsi="Arial" w:cs="Arial"/>
              </w:rPr>
            </w:pPr>
          </w:p>
        </w:tc>
      </w:tr>
      <w:tr>
        <w:tc>
          <w:tcPr>
            <w:tcW w:w="4644" w:type="dxa"/>
          </w:tcPr>
          <w:p>
            <w:pPr>
              <w:pStyle w:val="NormalWeb"/>
              <w:spacing w:before="240"/>
              <w:jc w:val="center"/>
            </w:pPr>
            <w:r>
              <w:rPr>
                <w:rStyle w:val="c5530a1221"/>
              </w:rPr>
              <w:t>Anlage ./1.1.</w:t>
            </w:r>
            <w:r>
              <w:rPr>
                <w:rStyle w:val="normal26"/>
              </w:rPr>
              <w:t>(</w:t>
            </w:r>
            <w:r>
              <w:rPr>
                <w:rStyle w:val="c5530a1241"/>
              </w:rPr>
              <w:t xml:space="preserve">Beschreibung des von der </w:t>
            </w:r>
            <w:r>
              <w:rPr>
                <w:rStyle w:val="c5530a1261"/>
              </w:rPr>
              <w:t>übertragenden Partei</w:t>
            </w:r>
            <w:r>
              <w:rPr>
                <w:rStyle w:val="c5530a1241"/>
              </w:rPr>
              <w:t xml:space="preserve"> gelieferten </w:t>
            </w:r>
            <w:r>
              <w:rPr>
                <w:rStyle w:val="c5530a1261"/>
              </w:rPr>
              <w:t>Materials</w:t>
            </w:r>
            <w:r>
              <w:rPr>
                <w:rStyle w:val="normal26"/>
              </w:rPr>
              <w:t>).</w:t>
            </w:r>
          </w:p>
          <w:p>
            <w:pPr>
              <w:pStyle w:val="NormalWeb"/>
            </w:pPr>
            <w:r>
              <w:rPr>
                <w:rStyle w:val="c5530a1221"/>
              </w:rPr>
              <w:t>Anlage ./1.4.</w:t>
            </w:r>
            <w:r>
              <w:rPr>
                <w:rStyle w:val="normal26"/>
              </w:rPr>
              <w:t xml:space="preserve"> </w:t>
            </w:r>
            <w:r>
              <w:rPr>
                <w:rStyle w:val="c5530a1201"/>
              </w:rPr>
              <w:t>Daten</w:t>
            </w:r>
            <w:r>
              <w:rPr>
                <w:rStyle w:val="normal26"/>
              </w:rPr>
              <w:t xml:space="preserve"> im Zusammenhang mit dem </w:t>
            </w:r>
            <w:r>
              <w:rPr>
                <w:rStyle w:val="c5530a1201"/>
              </w:rPr>
              <w:t>Material</w:t>
            </w:r>
            <w:r>
              <w:rPr>
                <w:rStyle w:val="normal26"/>
              </w:rPr>
              <w:t xml:space="preserve">, die der </w:t>
            </w:r>
            <w:r>
              <w:rPr>
                <w:rStyle w:val="c5530a1201"/>
              </w:rPr>
              <w:t>übernehmenden Partei</w:t>
            </w:r>
            <w:r>
              <w:rPr>
                <w:rStyle w:val="normal26"/>
              </w:rPr>
              <w:t xml:space="preserve"> durch die </w:t>
            </w:r>
            <w:r>
              <w:rPr>
                <w:rStyle w:val="c5530a1201"/>
              </w:rPr>
              <w:t>übertragende Partei</w:t>
            </w:r>
            <w:r>
              <w:rPr>
                <w:rStyle w:val="normal26"/>
              </w:rPr>
              <w:t xml:space="preserve"> offenbart wurden.</w:t>
            </w:r>
          </w:p>
          <w:p>
            <w:pPr>
              <w:pStyle w:val="NormalWeb"/>
            </w:pPr>
            <w:r>
              <w:rPr>
                <w:rStyle w:val="c5530a1221"/>
              </w:rPr>
              <w:t>Anlage ./1.7.</w:t>
            </w:r>
            <w:r>
              <w:rPr>
                <w:rStyle w:val="normal26"/>
              </w:rPr>
              <w:t xml:space="preserve"> Studienplan</w:t>
            </w:r>
          </w:p>
          <w:p>
            <w:pPr>
              <w:pStyle w:val="NormalWeb"/>
            </w:pPr>
            <w:r>
              <w:rPr>
                <w:rStyle w:val="c5530a1221"/>
              </w:rPr>
              <w:t>Anlage ./10.1.</w:t>
            </w:r>
            <w:r>
              <w:rPr>
                <w:rStyle w:val="normal26"/>
              </w:rPr>
              <w:t xml:space="preserve"> Meilenstein-Zahlungen</w:t>
            </w:r>
          </w:p>
          <w:p>
            <w:pPr>
              <w:pStyle w:val="NormalWeb"/>
              <w:spacing w:before="240" w:after="240"/>
              <w:rPr>
                <w:rFonts w:ascii="Arial" w:hAnsi="Arial" w:cs="Arial"/>
              </w:rPr>
            </w:pPr>
            <w:r>
              <w:rPr>
                <w:rStyle w:val="normal26"/>
              </w:rPr>
              <w:t xml:space="preserve">Alle Anlagen sind Bestandteil dieser </w:t>
            </w:r>
            <w:r>
              <w:rPr>
                <w:rStyle w:val="c5530a1201"/>
              </w:rPr>
              <w:t>Vereinbarung</w:t>
            </w:r>
            <w:r>
              <w:rPr>
                <w:rStyle w:val="normal26"/>
              </w:rPr>
              <w:t>.</w:t>
            </w:r>
          </w:p>
        </w:tc>
        <w:tc>
          <w:tcPr>
            <w:tcW w:w="4644" w:type="dxa"/>
          </w:tcPr>
          <w:p>
            <w:pPr>
              <w:rPr>
                <w:rFonts w:ascii="Arial" w:hAnsi="Arial" w:cs="Arial"/>
              </w:rPr>
            </w:pPr>
          </w:p>
        </w:tc>
      </w:tr>
      <w:tr>
        <w:tc>
          <w:tcPr>
            <w:tcW w:w="4644" w:type="dxa"/>
          </w:tcPr>
          <w:p>
            <w:pPr>
              <w:pStyle w:val="NormalWeb"/>
              <w:spacing w:before="240"/>
              <w:jc w:val="center"/>
            </w:pPr>
            <w:r>
              <w:rPr>
                <w:rStyle w:val="cac7d31281"/>
              </w:rPr>
              <w:t>16.</w:t>
            </w:r>
          </w:p>
          <w:p>
            <w:pPr>
              <w:pStyle w:val="NormalWeb"/>
              <w:spacing w:after="240"/>
              <w:jc w:val="center"/>
              <w:rPr>
                <w:rFonts w:ascii="Arial" w:hAnsi="Arial" w:cs="Arial"/>
              </w:rPr>
            </w:pPr>
            <w:r>
              <w:rPr>
                <w:rStyle w:val="cac7d31281"/>
              </w:rPr>
              <w:t>UNTERSCHRIFTEN</w:t>
            </w:r>
          </w:p>
        </w:tc>
        <w:tc>
          <w:tcPr>
            <w:tcW w:w="4644" w:type="dxa"/>
          </w:tcPr>
          <w:p>
            <w:pPr>
              <w:rPr>
                <w:rFonts w:ascii="Arial" w:hAnsi="Arial" w:cs="Arial"/>
              </w:rPr>
            </w:pPr>
          </w:p>
        </w:tc>
      </w:tr>
      <w:tr>
        <w:tc>
          <w:tcPr>
            <w:tcW w:w="4644" w:type="dxa"/>
          </w:tcPr>
          <w:p>
            <w:pPr>
              <w:pStyle w:val="NormalWeb"/>
              <w:spacing w:before="240" w:after="240"/>
            </w:pPr>
            <w:r>
              <w:rPr>
                <w:rStyle w:val="normal27"/>
              </w:rPr>
              <w:t xml:space="preserve">Für die </w:t>
            </w:r>
            <w:r>
              <w:rPr>
                <w:rStyle w:val="cac7d31271"/>
              </w:rPr>
              <w:t>übernehmende Partei</w:t>
            </w:r>
          </w:p>
          <w:p>
            <w:pPr>
              <w:pStyle w:val="NormalWeb"/>
              <w:spacing w:after="240"/>
            </w:pPr>
            <w:r>
              <w:rPr>
                <w:rStyle w:val="normal27"/>
              </w:rPr>
              <w:lastRenderedPageBreak/>
              <w:t xml:space="preserve">Datum: </w:t>
            </w:r>
            <w:r>
              <w:rPr>
                <w:rStyle w:val="cac7d31291"/>
              </w:rPr>
              <w:t>____________</w:t>
            </w:r>
          </w:p>
          <w:p>
            <w:pPr>
              <w:pStyle w:val="NormalWeb"/>
            </w:pPr>
            <w:r>
              <w:rPr>
                <w:rStyle w:val="cac7d31291"/>
              </w:rPr>
              <w:t>___________________________________</w:t>
            </w:r>
          </w:p>
          <w:p>
            <w:pPr>
              <w:pStyle w:val="NormalWeb"/>
              <w:spacing w:after="240"/>
            </w:pPr>
            <w:r>
              <w:rPr>
                <w:rStyle w:val="normal27"/>
              </w:rPr>
              <w:t>[Name und Titel/Position] [Unterschrift]</w:t>
            </w:r>
          </w:p>
          <w:p>
            <w:pPr>
              <w:pStyle w:val="NormalWeb"/>
              <w:spacing w:after="240"/>
            </w:pPr>
            <w:r>
              <w:rPr>
                <w:rStyle w:val="normal27"/>
              </w:rPr>
              <w:t xml:space="preserve">Für die </w:t>
            </w:r>
            <w:r>
              <w:rPr>
                <w:rStyle w:val="cac7d31271"/>
              </w:rPr>
              <w:t>übertragende Partei</w:t>
            </w:r>
          </w:p>
          <w:p>
            <w:pPr>
              <w:pStyle w:val="NormalWeb"/>
              <w:spacing w:after="240"/>
            </w:pPr>
            <w:r>
              <w:rPr>
                <w:rStyle w:val="normal27"/>
              </w:rPr>
              <w:t xml:space="preserve">Datum: </w:t>
            </w:r>
            <w:r>
              <w:rPr>
                <w:rStyle w:val="cac7d31291"/>
              </w:rPr>
              <w:t>____________</w:t>
            </w:r>
          </w:p>
          <w:p>
            <w:pPr>
              <w:pStyle w:val="NormalWeb"/>
            </w:pPr>
            <w:r>
              <w:rPr>
                <w:rStyle w:val="cac7d31291"/>
              </w:rPr>
              <w:t>___________________________________</w:t>
            </w:r>
          </w:p>
          <w:p>
            <w:pPr>
              <w:pStyle w:val="NormalWeb"/>
              <w:spacing w:after="240"/>
              <w:rPr>
                <w:rFonts w:ascii="Arial" w:hAnsi="Arial" w:cs="Arial"/>
              </w:rPr>
            </w:pPr>
            <w:r>
              <w:rPr>
                <w:rStyle w:val="normal27"/>
              </w:rPr>
              <w:t>[Name und Titel/Position] [Unterschrift]</w:t>
            </w:r>
          </w:p>
        </w:tc>
        <w:tc>
          <w:tcPr>
            <w:tcW w:w="4644" w:type="dxa"/>
          </w:tcPr>
          <w:p>
            <w:pPr>
              <w:rPr>
                <w:rFonts w:ascii="Arial" w:hAnsi="Arial" w:cs="Arial"/>
              </w:rPr>
            </w:pPr>
          </w:p>
        </w:tc>
      </w:tr>
      <w:tr>
        <w:tc>
          <w:tcPr>
            <w:tcW w:w="4644" w:type="dxa"/>
          </w:tcPr>
          <w:p>
            <w:pPr>
              <w:pStyle w:val="NormalWeb"/>
              <w:spacing w:after="240"/>
              <w:jc w:val="center"/>
            </w:pPr>
            <w:r>
              <w:rPr>
                <w:rStyle w:val="c82c9b1361"/>
              </w:rPr>
              <w:lastRenderedPageBreak/>
              <w:t>ANLAGE ./[...] Studienplan</w:t>
            </w:r>
          </w:p>
          <w:p>
            <w:pPr>
              <w:pStyle w:val="NormalWeb"/>
            </w:pPr>
            <w:r>
              <w:rPr>
                <w:rStyle w:val="normal28"/>
              </w:rPr>
              <w:t xml:space="preserve">1) </w:t>
            </w:r>
            <w:r>
              <w:rPr>
                <w:rStyle w:val="c82c9b1321"/>
              </w:rPr>
              <w:t>________________</w:t>
            </w:r>
            <w:r>
              <w:rPr>
                <w:rStyle w:val="normal28"/>
              </w:rPr>
              <w:t>(</w:t>
            </w:r>
            <w:r>
              <w:rPr>
                <w:rStyle w:val="c82c9b1341"/>
              </w:rPr>
              <w:t>Anrede, Vor- und Familienname des Forschers/der Forscherin, Adresse, Büro-Telefonnummer, Mobiltelefonnummer, Mailadresse</w:t>
            </w:r>
            <w:r>
              <w:rPr>
                <w:rStyle w:val="normal28"/>
              </w:rPr>
              <w:t>])</w:t>
            </w:r>
          </w:p>
          <w:p>
            <w:pPr>
              <w:pStyle w:val="NormalWeb"/>
            </w:pPr>
            <w:r>
              <w:rPr>
                <w:rStyle w:val="normal28"/>
              </w:rPr>
              <w:t xml:space="preserve">2) </w:t>
            </w:r>
            <w:r>
              <w:rPr>
                <w:rStyle w:val="c82c9b1321"/>
              </w:rPr>
              <w:t>________________</w:t>
            </w:r>
            <w:r>
              <w:rPr>
                <w:rStyle w:val="normal28"/>
              </w:rPr>
              <w:t>(</w:t>
            </w:r>
            <w:r>
              <w:rPr>
                <w:rStyle w:val="c82c9b1341"/>
              </w:rPr>
              <w:t>geplante Aufnahme der Arbeiten</w:t>
            </w:r>
            <w:r>
              <w:rPr>
                <w:rStyle w:val="normal28"/>
              </w:rPr>
              <w:t>)</w:t>
            </w:r>
          </w:p>
          <w:p>
            <w:pPr>
              <w:pStyle w:val="NormalWeb"/>
            </w:pPr>
            <w:r>
              <w:rPr>
                <w:rStyle w:val="normal28"/>
              </w:rPr>
              <w:t xml:space="preserve">3) </w:t>
            </w:r>
            <w:r>
              <w:rPr>
                <w:rStyle w:val="c82c9b1321"/>
              </w:rPr>
              <w:t>________________</w:t>
            </w:r>
            <w:r>
              <w:rPr>
                <w:rStyle w:val="normal28"/>
              </w:rPr>
              <w:t>(</w:t>
            </w:r>
            <w:r>
              <w:rPr>
                <w:rStyle w:val="c82c9b1341"/>
              </w:rPr>
              <w:t>Ziele der Materialüberlassungsvereinbarung, Hintergründe, wissenschaftlicher Kontext, detaillierte Angabe wie das bereitgestellte Material genutzt wird, weitere beteiligte Partner, Subauftragnehmer</w:t>
            </w:r>
            <w:r>
              <w:rPr>
                <w:rStyle w:val="normal28"/>
              </w:rPr>
              <w:t>)</w:t>
            </w:r>
          </w:p>
          <w:p>
            <w:pPr>
              <w:pStyle w:val="NormalWeb"/>
            </w:pPr>
            <w:r>
              <w:rPr>
                <w:rStyle w:val="normal28"/>
              </w:rPr>
              <w:t xml:space="preserve">4) </w:t>
            </w:r>
            <w:r>
              <w:rPr>
                <w:rStyle w:val="c82c9b1321"/>
              </w:rPr>
              <w:t>________________</w:t>
            </w:r>
            <w:r>
              <w:rPr>
                <w:rStyle w:val="normal28"/>
              </w:rPr>
              <w:t>(</w:t>
            </w:r>
            <w:r>
              <w:rPr>
                <w:rStyle w:val="c82c9b1341"/>
              </w:rPr>
              <w:t>notwendige Informationen, von der übertragenden Partei benötigtes Material</w:t>
            </w:r>
            <w:r>
              <w:rPr>
                <w:rStyle w:val="normal28"/>
              </w:rPr>
              <w:t>)</w:t>
            </w:r>
          </w:p>
          <w:p>
            <w:pPr>
              <w:pStyle w:val="NormalWeb"/>
            </w:pPr>
            <w:r>
              <w:rPr>
                <w:rStyle w:val="normal28"/>
              </w:rPr>
              <w:t xml:space="preserve">5) </w:t>
            </w:r>
            <w:r>
              <w:rPr>
                <w:rStyle w:val="c82c9b1321"/>
              </w:rPr>
              <w:t>________________</w:t>
            </w:r>
            <w:r>
              <w:rPr>
                <w:rStyle w:val="normal28"/>
              </w:rPr>
              <w:t>(</w:t>
            </w:r>
            <w:r>
              <w:rPr>
                <w:rStyle w:val="c82c9b1341"/>
              </w:rPr>
              <w:t>geplante Dauer der Tätigkeit/Evaluierung</w:t>
            </w:r>
            <w:r>
              <w:rPr>
                <w:rStyle w:val="normal28"/>
              </w:rPr>
              <w:t>)</w:t>
            </w:r>
          </w:p>
          <w:p>
            <w:pPr>
              <w:pStyle w:val="NormalWeb"/>
            </w:pPr>
            <w:r>
              <w:rPr>
                <w:rStyle w:val="normal28"/>
              </w:rPr>
              <w:t xml:space="preserve">6) </w:t>
            </w:r>
            <w:r>
              <w:rPr>
                <w:rStyle w:val="c82c9b1321"/>
              </w:rPr>
              <w:t>________________</w:t>
            </w:r>
            <w:r>
              <w:rPr>
                <w:rStyle w:val="normal28"/>
              </w:rPr>
              <w:t>(</w:t>
            </w:r>
            <w:r>
              <w:rPr>
                <w:rStyle w:val="c82c9b1341"/>
              </w:rPr>
              <w:t>Meilensteine</w:t>
            </w:r>
            <w:r>
              <w:rPr>
                <w:rStyle w:val="normal28"/>
              </w:rPr>
              <w:t>)</w:t>
            </w:r>
          </w:p>
          <w:p>
            <w:pPr>
              <w:rPr>
                <w:rFonts w:ascii="Arial" w:hAnsi="Arial" w:cs="Arial"/>
              </w:rPr>
            </w:pPr>
            <w:r>
              <w:rPr>
                <w:rStyle w:val="normal28"/>
              </w:rPr>
              <w:t xml:space="preserve">7) </w:t>
            </w:r>
            <w:r>
              <w:rPr>
                <w:rStyle w:val="c82c9b1321"/>
              </w:rPr>
              <w:t>________________</w:t>
            </w:r>
            <w:r>
              <w:rPr>
                <w:rStyle w:val="normal28"/>
              </w:rPr>
              <w:t>(</w:t>
            </w:r>
            <w:r>
              <w:rPr>
                <w:rStyle w:val="c82c9b1341"/>
              </w:rPr>
              <w:t>Anzahl der beteiligten Vollzeitäquivalente, beteiligte Personen</w:t>
            </w:r>
            <w:r>
              <w:rPr>
                <w:rStyle w:val="normal28"/>
              </w:rPr>
              <w:t>)</w:t>
            </w:r>
          </w:p>
        </w:tc>
        <w:tc>
          <w:tcPr>
            <w:tcW w:w="4644" w:type="dxa"/>
          </w:tcPr>
          <w:p>
            <w:pPr>
              <w:rPr>
                <w:rFonts w:ascii="Arial" w:hAnsi="Arial" w:cs="Arial"/>
              </w:rPr>
            </w:pPr>
          </w:p>
        </w:tc>
      </w:tr>
    </w:tbl>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after="0" w:line="240" w:lineRule="auto"/>
      <w:ind w:left="30"/>
    </w:pPr>
    <w:rPr>
      <w:rFonts w:ascii="Times New Roman" w:eastAsiaTheme="minorEastAsia" w:hAnsi="Times New Roman" w:cs="Times New Roman"/>
      <w:sz w:val="24"/>
      <w:szCs w:val="24"/>
      <w:lang w:eastAsia="de-AT"/>
    </w:rPr>
  </w:style>
  <w:style w:type="character" w:customStyle="1" w:styleId="cdc8d7411">
    <w:name w:val="cdc8d7411"/>
    <w:basedOn w:val="DefaultParagraphFont"/>
    <w:rPr>
      <w:rFonts w:ascii="Arial" w:hAnsi="Arial" w:cs="Arial" w:hint="default"/>
      <w:color w:val="000000"/>
      <w:sz w:val="22"/>
      <w:szCs w:val="22"/>
      <w:shd w:val="clear" w:color="auto" w:fill="FF00FF"/>
    </w:rPr>
  </w:style>
  <w:style w:type="character" w:customStyle="1" w:styleId="normal1">
    <w:name w:val="normal1"/>
    <w:basedOn w:val="DefaultParagraphFont"/>
    <w:rPr>
      <w:rFonts w:ascii="Arial" w:hAnsi="Arial" w:cs="Arial" w:hint="default"/>
      <w:color w:val="000000"/>
      <w:sz w:val="22"/>
      <w:szCs w:val="22"/>
    </w:rPr>
  </w:style>
  <w:style w:type="character" w:customStyle="1" w:styleId="cdc8d7421">
    <w:name w:val="cdc8d7421"/>
    <w:basedOn w:val="DefaultParagraphFont"/>
    <w:rPr>
      <w:rFonts w:ascii="Arial" w:hAnsi="Arial" w:cs="Arial" w:hint="default"/>
      <w:color w:val="000000"/>
      <w:sz w:val="16"/>
      <w:szCs w:val="16"/>
    </w:rPr>
  </w:style>
  <w:style w:type="character" w:customStyle="1" w:styleId="cdc8d7431">
    <w:name w:val="cdc8d7431"/>
    <w:basedOn w:val="DefaultParagraphFont"/>
    <w:rPr>
      <w:rFonts w:ascii="Arial" w:hAnsi="Arial" w:cs="Arial" w:hint="default"/>
      <w:color w:val="000000"/>
      <w:sz w:val="22"/>
      <w:szCs w:val="22"/>
      <w:shd w:val="clear" w:color="auto" w:fill="00FF00"/>
    </w:rPr>
  </w:style>
  <w:style w:type="character" w:customStyle="1" w:styleId="cdc8d7441">
    <w:name w:val="cdc8d7441"/>
    <w:basedOn w:val="DefaultParagraphFont"/>
    <w:rPr>
      <w:rFonts w:ascii="Arial" w:hAnsi="Arial" w:cs="Arial" w:hint="default"/>
      <w:color w:val="000000"/>
      <w:sz w:val="22"/>
      <w:szCs w:val="22"/>
      <w:shd w:val="clear" w:color="auto" w:fill="00FFFF"/>
    </w:rPr>
  </w:style>
  <w:style w:type="character" w:customStyle="1" w:styleId="cdc8d7451">
    <w:name w:val="cdc8d7451"/>
    <w:basedOn w:val="DefaultParagraphFont"/>
    <w:rPr>
      <w:rFonts w:ascii="Arial" w:hAnsi="Arial" w:cs="Arial" w:hint="default"/>
      <w:color w:val="000000"/>
      <w:sz w:val="22"/>
      <w:szCs w:val="22"/>
      <w:shd w:val="clear" w:color="auto" w:fill="C0C0C0"/>
    </w:rPr>
  </w:style>
  <w:style w:type="character" w:customStyle="1" w:styleId="cdc8d7461">
    <w:name w:val="cdc8d7461"/>
    <w:basedOn w:val="DefaultParagraphFont"/>
    <w:rPr>
      <w:rFonts w:ascii="Arial" w:hAnsi="Arial" w:cs="Arial" w:hint="default"/>
      <w:color w:val="000000"/>
      <w:sz w:val="22"/>
      <w:szCs w:val="22"/>
      <w:shd w:val="clear" w:color="auto" w:fill="FFFF00"/>
    </w:rPr>
  </w:style>
  <w:style w:type="character" w:customStyle="1" w:styleId="cdc8d7551">
    <w:name w:val="cdc8d7551"/>
    <w:basedOn w:val="DefaultParagraphFont"/>
    <w:rPr>
      <w:rFonts w:ascii="Arial" w:hAnsi="Arial" w:cs="Arial" w:hint="default"/>
      <w:b/>
      <w:bCs/>
      <w:color w:val="000000"/>
      <w:sz w:val="32"/>
      <w:szCs w:val="32"/>
    </w:rPr>
  </w:style>
  <w:style w:type="character" w:customStyle="1" w:styleId="cdc8d7491">
    <w:name w:val="cdc8d7491"/>
    <w:basedOn w:val="DefaultParagraphFont"/>
    <w:rPr>
      <w:rFonts w:ascii="Arial" w:hAnsi="Arial" w:cs="Arial" w:hint="default"/>
      <w:color w:val="000000"/>
      <w:sz w:val="22"/>
      <w:szCs w:val="22"/>
    </w:rPr>
  </w:style>
  <w:style w:type="character" w:customStyle="1" w:styleId="cdc8d7501">
    <w:name w:val="cdc8d7501"/>
    <w:basedOn w:val="DefaultParagraphFont"/>
    <w:rPr>
      <w:rFonts w:ascii="Arial" w:hAnsi="Arial" w:cs="Arial" w:hint="default"/>
      <w:color w:val="000000"/>
      <w:sz w:val="22"/>
      <w:szCs w:val="22"/>
      <w:shd w:val="clear" w:color="auto" w:fill="C0C0C0"/>
    </w:rPr>
  </w:style>
  <w:style w:type="character" w:customStyle="1" w:styleId="cdc8d7521">
    <w:name w:val="cdc8d7521"/>
    <w:basedOn w:val="DefaultParagraphFont"/>
    <w:rPr>
      <w:rFonts w:ascii="Arial" w:hAnsi="Arial" w:cs="Arial" w:hint="default"/>
      <w:color w:val="000000"/>
      <w:sz w:val="16"/>
      <w:szCs w:val="16"/>
      <w:shd w:val="clear" w:color="auto" w:fill="FFFF00"/>
    </w:rPr>
  </w:style>
  <w:style w:type="character" w:customStyle="1" w:styleId="cdc8d7541">
    <w:name w:val="cdc8d7541"/>
    <w:basedOn w:val="DefaultParagraphFont"/>
    <w:rPr>
      <w:rFonts w:ascii="Arial" w:hAnsi="Arial" w:cs="Arial" w:hint="default"/>
      <w:b/>
      <w:bCs/>
      <w:color w:val="000000"/>
      <w:sz w:val="22"/>
      <w:szCs w:val="22"/>
      <w:shd w:val="clear" w:color="auto" w:fill="00FFFF"/>
    </w:rPr>
  </w:style>
  <w:style w:type="character" w:customStyle="1" w:styleId="cdc8d7481">
    <w:name w:val="cdc8d7481"/>
    <w:basedOn w:val="DefaultParagraphFont"/>
    <w:rPr>
      <w:rFonts w:ascii="Arial" w:hAnsi="Arial" w:cs="Arial" w:hint="default"/>
      <w:b/>
      <w:bCs/>
      <w:color w:val="000000"/>
      <w:sz w:val="22"/>
      <w:szCs w:val="22"/>
    </w:rPr>
  </w:style>
  <w:style w:type="character" w:customStyle="1" w:styleId="c92bff161">
    <w:name w:val="c92bff161"/>
    <w:basedOn w:val="DefaultParagraphFont"/>
    <w:rPr>
      <w:rFonts w:ascii="Arial" w:hAnsi="Arial" w:cs="Arial" w:hint="default"/>
      <w:b/>
      <w:bCs/>
      <w:color w:val="000000"/>
      <w:sz w:val="22"/>
      <w:szCs w:val="22"/>
    </w:rPr>
  </w:style>
  <w:style w:type="character" w:customStyle="1" w:styleId="normal3">
    <w:name w:val="normal3"/>
    <w:basedOn w:val="DefaultParagraphFont"/>
    <w:rPr>
      <w:rFonts w:ascii="Arial" w:hAnsi="Arial" w:cs="Arial" w:hint="default"/>
      <w:color w:val="000000"/>
      <w:sz w:val="22"/>
      <w:szCs w:val="22"/>
    </w:rPr>
  </w:style>
  <w:style w:type="character" w:customStyle="1" w:styleId="c92bff171">
    <w:name w:val="c92bff171"/>
    <w:basedOn w:val="DefaultParagraphFont"/>
    <w:rPr>
      <w:rFonts w:ascii="Arial" w:hAnsi="Arial" w:cs="Arial" w:hint="default"/>
      <w:b/>
      <w:bCs/>
      <w:color w:val="000000"/>
      <w:sz w:val="22"/>
      <w:szCs w:val="22"/>
    </w:rPr>
  </w:style>
  <w:style w:type="character" w:customStyle="1" w:styleId="c92bff181">
    <w:name w:val="c92bff181"/>
    <w:basedOn w:val="DefaultParagraphFont"/>
    <w:rPr>
      <w:rFonts w:ascii="Arial" w:hAnsi="Arial" w:cs="Arial" w:hint="default"/>
      <w:color w:val="000000"/>
      <w:sz w:val="22"/>
      <w:szCs w:val="22"/>
      <w:shd w:val="clear" w:color="auto" w:fill="C0C0C0"/>
    </w:rPr>
  </w:style>
  <w:style w:type="character" w:customStyle="1" w:styleId="c92bff201">
    <w:name w:val="c92bff201"/>
    <w:basedOn w:val="DefaultParagraphFont"/>
    <w:rPr>
      <w:rFonts w:ascii="Arial" w:hAnsi="Arial" w:cs="Arial" w:hint="default"/>
      <w:color w:val="000000"/>
      <w:sz w:val="16"/>
      <w:szCs w:val="16"/>
      <w:shd w:val="clear" w:color="auto" w:fill="FFFF00"/>
    </w:rPr>
  </w:style>
  <w:style w:type="character" w:customStyle="1" w:styleId="c92bff211">
    <w:name w:val="c92bff211"/>
    <w:basedOn w:val="DefaultParagraphFont"/>
    <w:rPr>
      <w:rFonts w:ascii="Arial" w:hAnsi="Arial" w:cs="Arial" w:hint="default"/>
      <w:color w:val="000000"/>
      <w:sz w:val="22"/>
      <w:szCs w:val="22"/>
      <w:shd w:val="clear" w:color="auto" w:fill="00FFFF"/>
    </w:rPr>
  </w:style>
  <w:style w:type="character" w:customStyle="1" w:styleId="c92bff221">
    <w:name w:val="c92bff221"/>
    <w:basedOn w:val="DefaultParagraphFont"/>
    <w:rPr>
      <w:rFonts w:ascii="Arial" w:hAnsi="Arial" w:cs="Arial" w:hint="default"/>
      <w:b/>
      <w:bCs/>
      <w:color w:val="000000"/>
      <w:sz w:val="22"/>
      <w:szCs w:val="22"/>
      <w:shd w:val="clear" w:color="auto" w:fill="00FFFF"/>
    </w:rPr>
  </w:style>
  <w:style w:type="character" w:customStyle="1" w:styleId="c92bff241">
    <w:name w:val="c92bff241"/>
    <w:basedOn w:val="DefaultParagraphFont"/>
    <w:rPr>
      <w:rFonts w:ascii="Arial" w:hAnsi="Arial" w:cs="Arial" w:hint="default"/>
      <w:color w:val="000000"/>
      <w:sz w:val="22"/>
      <w:szCs w:val="22"/>
      <w:u w:val="single"/>
      <w:shd w:val="clear" w:color="auto" w:fill="00FFFF"/>
    </w:rPr>
  </w:style>
  <w:style w:type="character" w:customStyle="1" w:styleId="cfd4fa671">
    <w:name w:val="cfd4fa671"/>
    <w:basedOn w:val="DefaultParagraphFont"/>
    <w:rPr>
      <w:rFonts w:ascii="Arial" w:hAnsi="Arial" w:cs="Arial" w:hint="default"/>
      <w:b/>
      <w:bCs/>
      <w:color w:val="000000"/>
      <w:sz w:val="22"/>
      <w:szCs w:val="22"/>
    </w:rPr>
  </w:style>
  <w:style w:type="character" w:customStyle="1" w:styleId="normal5">
    <w:name w:val="normal5"/>
    <w:basedOn w:val="DefaultParagraphFont"/>
    <w:rPr>
      <w:rFonts w:ascii="Arial" w:hAnsi="Arial" w:cs="Arial" w:hint="default"/>
      <w:color w:val="000000"/>
      <w:sz w:val="22"/>
      <w:szCs w:val="22"/>
    </w:rPr>
  </w:style>
  <w:style w:type="character" w:customStyle="1" w:styleId="cfd4fa661">
    <w:name w:val="cfd4fa661"/>
    <w:basedOn w:val="DefaultParagraphFont"/>
    <w:rPr>
      <w:rFonts w:ascii="Arial" w:hAnsi="Arial" w:cs="Arial" w:hint="default"/>
      <w:b/>
      <w:bCs/>
      <w:color w:val="000000"/>
      <w:sz w:val="22"/>
      <w:szCs w:val="22"/>
    </w:rPr>
  </w:style>
  <w:style w:type="character" w:customStyle="1" w:styleId="cfd4fa681">
    <w:name w:val="cfd4fa681"/>
    <w:basedOn w:val="DefaultParagraphFont"/>
    <w:rPr>
      <w:rFonts w:ascii="Arial" w:hAnsi="Arial" w:cs="Arial" w:hint="default"/>
      <w:color w:val="000000"/>
      <w:sz w:val="22"/>
      <w:szCs w:val="22"/>
      <w:shd w:val="clear" w:color="auto" w:fill="00FFFF"/>
    </w:rPr>
  </w:style>
  <w:style w:type="character" w:customStyle="1" w:styleId="cfd4fa691">
    <w:name w:val="cfd4fa691"/>
    <w:basedOn w:val="DefaultParagraphFont"/>
    <w:rPr>
      <w:rFonts w:ascii="Arial" w:hAnsi="Arial" w:cs="Arial" w:hint="default"/>
      <w:b/>
      <w:bCs/>
      <w:color w:val="000000"/>
      <w:sz w:val="22"/>
      <w:szCs w:val="22"/>
      <w:shd w:val="clear" w:color="auto" w:fill="00FFFF"/>
    </w:rPr>
  </w:style>
  <w:style w:type="character" w:customStyle="1" w:styleId="cfd4fa701">
    <w:name w:val="cfd4fa701"/>
    <w:basedOn w:val="DefaultParagraphFont"/>
    <w:rPr>
      <w:rFonts w:ascii="Arial" w:hAnsi="Arial" w:cs="Arial" w:hint="default"/>
      <w:color w:val="000000"/>
      <w:sz w:val="22"/>
      <w:szCs w:val="22"/>
      <w:u w:val="single"/>
      <w:shd w:val="clear" w:color="auto" w:fill="00FFFF"/>
    </w:rPr>
  </w:style>
  <w:style w:type="character" w:customStyle="1" w:styleId="cfd4fa711">
    <w:name w:val="cfd4fa711"/>
    <w:basedOn w:val="DefaultParagraphFont"/>
    <w:rPr>
      <w:rFonts w:ascii="Arial" w:hAnsi="Arial" w:cs="Arial" w:hint="default"/>
      <w:color w:val="000000"/>
      <w:sz w:val="22"/>
      <w:szCs w:val="22"/>
      <w:shd w:val="clear" w:color="auto" w:fill="C0C0C0"/>
    </w:rPr>
  </w:style>
  <w:style w:type="character" w:customStyle="1" w:styleId="cfd4fa721">
    <w:name w:val="cfd4fa721"/>
    <w:basedOn w:val="DefaultParagraphFont"/>
    <w:rPr>
      <w:rFonts w:ascii="Arial" w:hAnsi="Arial" w:cs="Arial" w:hint="default"/>
      <w:color w:val="000000"/>
      <w:sz w:val="22"/>
      <w:szCs w:val="22"/>
    </w:rPr>
  </w:style>
  <w:style w:type="character" w:customStyle="1" w:styleId="c7ee9e261">
    <w:name w:val="c7ee9e261"/>
    <w:basedOn w:val="DefaultParagraphFont"/>
    <w:rPr>
      <w:rFonts w:ascii="Arial" w:hAnsi="Arial" w:cs="Arial" w:hint="default"/>
      <w:b/>
      <w:bCs/>
      <w:color w:val="000000"/>
      <w:sz w:val="22"/>
      <w:szCs w:val="22"/>
    </w:rPr>
  </w:style>
  <w:style w:type="character" w:customStyle="1" w:styleId="normal7">
    <w:name w:val="normal7"/>
    <w:basedOn w:val="DefaultParagraphFont"/>
    <w:rPr>
      <w:rFonts w:ascii="Arial" w:hAnsi="Arial" w:cs="Arial" w:hint="default"/>
      <w:color w:val="000000"/>
      <w:sz w:val="22"/>
      <w:szCs w:val="22"/>
    </w:rPr>
  </w:style>
  <w:style w:type="character" w:customStyle="1" w:styleId="c7ee9e251">
    <w:name w:val="c7ee9e251"/>
    <w:basedOn w:val="DefaultParagraphFont"/>
    <w:rPr>
      <w:rFonts w:ascii="Arial" w:hAnsi="Arial" w:cs="Arial" w:hint="default"/>
      <w:b/>
      <w:bCs/>
      <w:color w:val="000000"/>
      <w:sz w:val="22"/>
      <w:szCs w:val="22"/>
    </w:rPr>
  </w:style>
  <w:style w:type="character" w:customStyle="1" w:styleId="c7ee9e271">
    <w:name w:val="c7ee9e271"/>
    <w:basedOn w:val="DefaultParagraphFont"/>
    <w:rPr>
      <w:rFonts w:ascii="Arial" w:hAnsi="Arial" w:cs="Arial" w:hint="default"/>
      <w:color w:val="000000"/>
      <w:sz w:val="22"/>
      <w:szCs w:val="22"/>
      <w:shd w:val="clear" w:color="auto" w:fill="00FFFF"/>
    </w:rPr>
  </w:style>
  <w:style w:type="character" w:customStyle="1" w:styleId="c7ee9e281">
    <w:name w:val="c7ee9e281"/>
    <w:basedOn w:val="DefaultParagraphFont"/>
    <w:rPr>
      <w:rFonts w:ascii="Arial" w:hAnsi="Arial" w:cs="Arial" w:hint="default"/>
      <w:color w:val="000000"/>
      <w:sz w:val="22"/>
      <w:szCs w:val="22"/>
      <w:shd w:val="clear" w:color="auto" w:fill="C0C0C0"/>
    </w:rPr>
  </w:style>
  <w:style w:type="character" w:customStyle="1" w:styleId="c7ee9e301">
    <w:name w:val="c7ee9e301"/>
    <w:basedOn w:val="DefaultParagraphFont"/>
    <w:rPr>
      <w:rFonts w:ascii="Arial" w:hAnsi="Arial" w:cs="Arial" w:hint="default"/>
      <w:color w:val="000000"/>
      <w:sz w:val="16"/>
      <w:szCs w:val="16"/>
      <w:shd w:val="clear" w:color="auto" w:fill="FFFF00"/>
    </w:rPr>
  </w:style>
  <w:style w:type="character" w:customStyle="1" w:styleId="c7ee9e311">
    <w:name w:val="c7ee9e311"/>
    <w:basedOn w:val="DefaultParagraphFont"/>
    <w:rPr>
      <w:rFonts w:ascii="Arial" w:hAnsi="Arial" w:cs="Arial" w:hint="default"/>
      <w:b/>
      <w:bCs/>
      <w:color w:val="000000"/>
      <w:sz w:val="22"/>
      <w:szCs w:val="22"/>
      <w:shd w:val="clear" w:color="auto" w:fill="00FFFF"/>
    </w:rPr>
  </w:style>
  <w:style w:type="character" w:customStyle="1" w:styleId="c2530e411">
    <w:name w:val="c2530e411"/>
    <w:basedOn w:val="DefaultParagraphFont"/>
    <w:rPr>
      <w:rFonts w:ascii="Arial" w:hAnsi="Arial" w:cs="Arial" w:hint="default"/>
      <w:b/>
      <w:bCs/>
      <w:color w:val="000000"/>
      <w:sz w:val="22"/>
      <w:szCs w:val="22"/>
    </w:rPr>
  </w:style>
  <w:style w:type="character" w:customStyle="1" w:styleId="normal9">
    <w:name w:val="normal9"/>
    <w:basedOn w:val="DefaultParagraphFont"/>
    <w:rPr>
      <w:rFonts w:ascii="Arial" w:hAnsi="Arial" w:cs="Arial" w:hint="default"/>
      <w:color w:val="000000"/>
      <w:sz w:val="22"/>
      <w:szCs w:val="22"/>
    </w:rPr>
  </w:style>
  <w:style w:type="character" w:customStyle="1" w:styleId="c2530e401">
    <w:name w:val="c2530e401"/>
    <w:basedOn w:val="DefaultParagraphFont"/>
    <w:rPr>
      <w:rFonts w:ascii="Arial" w:hAnsi="Arial" w:cs="Arial" w:hint="default"/>
      <w:b/>
      <w:bCs/>
      <w:color w:val="000000"/>
      <w:sz w:val="22"/>
      <w:szCs w:val="22"/>
    </w:rPr>
  </w:style>
  <w:style w:type="character" w:customStyle="1" w:styleId="c2530e421">
    <w:name w:val="c2530e421"/>
    <w:basedOn w:val="DefaultParagraphFont"/>
    <w:rPr>
      <w:rFonts w:ascii="Arial" w:hAnsi="Arial" w:cs="Arial" w:hint="default"/>
      <w:color w:val="000000"/>
      <w:sz w:val="22"/>
      <w:szCs w:val="22"/>
      <w:shd w:val="clear" w:color="auto" w:fill="00FFFF"/>
    </w:rPr>
  </w:style>
  <w:style w:type="character" w:customStyle="1" w:styleId="c2530e431">
    <w:name w:val="c2530e431"/>
    <w:basedOn w:val="DefaultParagraphFont"/>
    <w:rPr>
      <w:rFonts w:ascii="Arial" w:hAnsi="Arial" w:cs="Arial" w:hint="default"/>
      <w:b/>
      <w:bCs/>
      <w:color w:val="000000"/>
      <w:sz w:val="22"/>
      <w:szCs w:val="22"/>
      <w:shd w:val="clear" w:color="auto" w:fill="00FFFF"/>
    </w:rPr>
  </w:style>
  <w:style w:type="character" w:customStyle="1" w:styleId="c2530e451">
    <w:name w:val="c2530e451"/>
    <w:basedOn w:val="DefaultParagraphFont"/>
    <w:rPr>
      <w:rFonts w:ascii="Arial" w:hAnsi="Arial" w:cs="Arial" w:hint="default"/>
      <w:color w:val="000000"/>
      <w:sz w:val="16"/>
      <w:szCs w:val="16"/>
      <w:shd w:val="clear" w:color="auto" w:fill="FFFF00"/>
    </w:rPr>
  </w:style>
  <w:style w:type="character" w:customStyle="1" w:styleId="c2530e461">
    <w:name w:val="c2530e461"/>
    <w:basedOn w:val="DefaultParagraphFont"/>
    <w:rPr>
      <w:rFonts w:ascii="Arial" w:hAnsi="Arial" w:cs="Arial" w:hint="default"/>
      <w:color w:val="000000"/>
      <w:sz w:val="22"/>
      <w:szCs w:val="22"/>
      <w:u w:val="single"/>
      <w:shd w:val="clear" w:color="auto" w:fill="00FFFF"/>
    </w:rPr>
  </w:style>
  <w:style w:type="character" w:customStyle="1" w:styleId="c2530e471">
    <w:name w:val="c2530e471"/>
    <w:basedOn w:val="DefaultParagraphFont"/>
    <w:rPr>
      <w:rFonts w:ascii="Arial" w:hAnsi="Arial" w:cs="Arial" w:hint="default"/>
      <w:color w:val="000000"/>
      <w:sz w:val="22"/>
      <w:szCs w:val="22"/>
      <w:shd w:val="clear" w:color="auto" w:fill="FF00FF"/>
    </w:rPr>
  </w:style>
  <w:style w:type="character" w:customStyle="1" w:styleId="c2530e481">
    <w:name w:val="c2530e481"/>
    <w:basedOn w:val="DefaultParagraphFont"/>
    <w:rPr>
      <w:rFonts w:ascii="Arial" w:hAnsi="Arial" w:cs="Arial" w:hint="default"/>
      <w:b/>
      <w:bCs/>
      <w:color w:val="000000"/>
      <w:sz w:val="22"/>
      <w:szCs w:val="22"/>
      <w:shd w:val="clear" w:color="auto" w:fill="FF00FF"/>
    </w:rPr>
  </w:style>
  <w:style w:type="character" w:customStyle="1" w:styleId="c2530e491">
    <w:name w:val="c2530e491"/>
    <w:basedOn w:val="DefaultParagraphFont"/>
    <w:rPr>
      <w:rFonts w:ascii="Arial" w:hAnsi="Arial" w:cs="Arial" w:hint="default"/>
      <w:color w:val="000000"/>
      <w:sz w:val="22"/>
      <w:szCs w:val="22"/>
    </w:rPr>
  </w:style>
  <w:style w:type="character" w:customStyle="1" w:styleId="cb2893481">
    <w:name w:val="cb2893481"/>
    <w:basedOn w:val="DefaultParagraphFont"/>
    <w:rPr>
      <w:rFonts w:ascii="Arial" w:hAnsi="Arial" w:cs="Arial" w:hint="default"/>
      <w:b/>
      <w:bCs/>
      <w:color w:val="000000"/>
      <w:sz w:val="22"/>
      <w:szCs w:val="22"/>
    </w:rPr>
  </w:style>
  <w:style w:type="character" w:customStyle="1" w:styleId="normal11">
    <w:name w:val="normal11"/>
    <w:basedOn w:val="DefaultParagraphFont"/>
    <w:rPr>
      <w:rFonts w:ascii="Arial" w:hAnsi="Arial" w:cs="Arial" w:hint="default"/>
      <w:color w:val="000000"/>
      <w:sz w:val="22"/>
      <w:szCs w:val="22"/>
    </w:rPr>
  </w:style>
  <w:style w:type="character" w:customStyle="1" w:styleId="cb2893471">
    <w:name w:val="cb2893471"/>
    <w:basedOn w:val="DefaultParagraphFont"/>
    <w:rPr>
      <w:rFonts w:ascii="Arial" w:hAnsi="Arial" w:cs="Arial" w:hint="default"/>
      <w:b/>
      <w:bCs/>
      <w:color w:val="000000"/>
      <w:sz w:val="22"/>
      <w:szCs w:val="22"/>
    </w:rPr>
  </w:style>
  <w:style w:type="character" w:customStyle="1" w:styleId="cb2893501">
    <w:name w:val="cb2893501"/>
    <w:basedOn w:val="DefaultParagraphFont"/>
    <w:rPr>
      <w:rFonts w:ascii="Arial" w:hAnsi="Arial" w:cs="Arial" w:hint="default"/>
      <w:color w:val="000000"/>
      <w:sz w:val="22"/>
      <w:szCs w:val="22"/>
      <w:u w:val="single"/>
      <w:shd w:val="clear" w:color="auto" w:fill="00FFFF"/>
    </w:rPr>
  </w:style>
  <w:style w:type="character" w:customStyle="1" w:styleId="cb2893511">
    <w:name w:val="cb2893511"/>
    <w:basedOn w:val="DefaultParagraphFont"/>
    <w:rPr>
      <w:rFonts w:ascii="Arial" w:hAnsi="Arial" w:cs="Arial" w:hint="default"/>
      <w:color w:val="000000"/>
      <w:sz w:val="22"/>
      <w:szCs w:val="22"/>
      <w:shd w:val="clear" w:color="auto" w:fill="00FFFF"/>
    </w:rPr>
  </w:style>
  <w:style w:type="character" w:customStyle="1" w:styleId="cb2893521">
    <w:name w:val="cb2893521"/>
    <w:basedOn w:val="DefaultParagraphFont"/>
    <w:rPr>
      <w:rFonts w:ascii="Arial" w:hAnsi="Arial" w:cs="Arial" w:hint="default"/>
      <w:b/>
      <w:bCs/>
      <w:color w:val="000000"/>
      <w:sz w:val="22"/>
      <w:szCs w:val="22"/>
      <w:shd w:val="clear" w:color="auto" w:fill="00FFFF"/>
    </w:rPr>
  </w:style>
  <w:style w:type="character" w:customStyle="1" w:styleId="c7a789591">
    <w:name w:val="c7a789591"/>
    <w:basedOn w:val="DefaultParagraphFont"/>
    <w:rPr>
      <w:rFonts w:ascii="Arial" w:hAnsi="Arial" w:cs="Arial" w:hint="default"/>
      <w:b/>
      <w:bCs/>
      <w:color w:val="000000"/>
      <w:sz w:val="22"/>
      <w:szCs w:val="22"/>
    </w:rPr>
  </w:style>
  <w:style w:type="character" w:customStyle="1" w:styleId="normal13">
    <w:name w:val="normal13"/>
    <w:basedOn w:val="DefaultParagraphFont"/>
    <w:rPr>
      <w:rFonts w:ascii="Arial" w:hAnsi="Arial" w:cs="Arial" w:hint="default"/>
      <w:color w:val="000000"/>
      <w:sz w:val="22"/>
      <w:szCs w:val="22"/>
    </w:rPr>
  </w:style>
  <w:style w:type="character" w:customStyle="1" w:styleId="c7a789581">
    <w:name w:val="c7a789581"/>
    <w:basedOn w:val="DefaultParagraphFont"/>
    <w:rPr>
      <w:rFonts w:ascii="Arial" w:hAnsi="Arial" w:cs="Arial" w:hint="default"/>
      <w:b/>
      <w:bCs/>
      <w:color w:val="000000"/>
      <w:sz w:val="22"/>
      <w:szCs w:val="22"/>
    </w:rPr>
  </w:style>
  <w:style w:type="character" w:customStyle="1" w:styleId="c7a789601">
    <w:name w:val="c7a789601"/>
    <w:basedOn w:val="DefaultParagraphFont"/>
    <w:rPr>
      <w:rFonts w:ascii="Arial" w:hAnsi="Arial" w:cs="Arial" w:hint="default"/>
      <w:color w:val="000000"/>
      <w:sz w:val="22"/>
      <w:szCs w:val="22"/>
      <w:shd w:val="clear" w:color="auto" w:fill="00FFFF"/>
    </w:rPr>
  </w:style>
  <w:style w:type="character" w:customStyle="1" w:styleId="c7a789611">
    <w:name w:val="c7a789611"/>
    <w:basedOn w:val="DefaultParagraphFont"/>
    <w:rPr>
      <w:rFonts w:ascii="Arial" w:hAnsi="Arial" w:cs="Arial" w:hint="default"/>
      <w:b/>
      <w:bCs/>
      <w:color w:val="000000"/>
      <w:sz w:val="22"/>
      <w:szCs w:val="22"/>
      <w:shd w:val="clear" w:color="auto" w:fill="00FFFF"/>
    </w:rPr>
  </w:style>
  <w:style w:type="character" w:customStyle="1" w:styleId="c7a789631">
    <w:name w:val="c7a789631"/>
    <w:basedOn w:val="DefaultParagraphFont"/>
    <w:rPr>
      <w:rFonts w:ascii="Arial" w:hAnsi="Arial" w:cs="Arial" w:hint="default"/>
      <w:color w:val="000000"/>
      <w:sz w:val="16"/>
      <w:szCs w:val="16"/>
      <w:shd w:val="clear" w:color="auto" w:fill="FFFF00"/>
    </w:rPr>
  </w:style>
  <w:style w:type="character" w:customStyle="1" w:styleId="c7a789641">
    <w:name w:val="c7a789641"/>
    <w:basedOn w:val="DefaultParagraphFont"/>
    <w:rPr>
      <w:rFonts w:ascii="Arial" w:hAnsi="Arial" w:cs="Arial" w:hint="default"/>
      <w:color w:val="000000"/>
      <w:sz w:val="22"/>
      <w:szCs w:val="22"/>
      <w:shd w:val="clear" w:color="auto" w:fill="C0C0C0"/>
    </w:rPr>
  </w:style>
  <w:style w:type="character" w:customStyle="1" w:styleId="c7a789651">
    <w:name w:val="c7a789651"/>
    <w:basedOn w:val="DefaultParagraphFont"/>
    <w:rPr>
      <w:rFonts w:ascii="Arial" w:hAnsi="Arial" w:cs="Arial" w:hint="default"/>
      <w:color w:val="000000"/>
      <w:sz w:val="22"/>
      <w:szCs w:val="22"/>
      <w:u w:val="single"/>
      <w:shd w:val="clear" w:color="auto" w:fill="00FFFF"/>
    </w:rPr>
  </w:style>
  <w:style w:type="character" w:customStyle="1" w:styleId="cb1351681">
    <w:name w:val="cb1351681"/>
    <w:basedOn w:val="DefaultParagraphFont"/>
    <w:rPr>
      <w:rFonts w:ascii="Arial" w:hAnsi="Arial" w:cs="Arial" w:hint="default"/>
      <w:b/>
      <w:bCs/>
      <w:color w:val="000000"/>
      <w:sz w:val="22"/>
      <w:szCs w:val="22"/>
    </w:rPr>
  </w:style>
  <w:style w:type="character" w:customStyle="1" w:styleId="normal15">
    <w:name w:val="normal15"/>
    <w:basedOn w:val="DefaultParagraphFont"/>
    <w:rPr>
      <w:rFonts w:ascii="Arial" w:hAnsi="Arial" w:cs="Arial" w:hint="default"/>
      <w:color w:val="000000"/>
      <w:sz w:val="22"/>
      <w:szCs w:val="22"/>
    </w:rPr>
  </w:style>
  <w:style w:type="character" w:customStyle="1" w:styleId="cb1351671">
    <w:name w:val="cb1351671"/>
    <w:basedOn w:val="DefaultParagraphFont"/>
    <w:rPr>
      <w:rFonts w:ascii="Arial" w:hAnsi="Arial" w:cs="Arial" w:hint="default"/>
      <w:b/>
      <w:bCs/>
      <w:color w:val="000000"/>
      <w:sz w:val="22"/>
      <w:szCs w:val="22"/>
    </w:rPr>
  </w:style>
  <w:style w:type="character" w:customStyle="1" w:styleId="cb1351691">
    <w:name w:val="cb1351691"/>
    <w:basedOn w:val="DefaultParagraphFont"/>
    <w:rPr>
      <w:rFonts w:ascii="Arial" w:hAnsi="Arial" w:cs="Arial" w:hint="default"/>
      <w:color w:val="000000"/>
      <w:sz w:val="22"/>
      <w:szCs w:val="22"/>
      <w:shd w:val="clear" w:color="auto" w:fill="C0C0C0"/>
    </w:rPr>
  </w:style>
  <w:style w:type="character" w:customStyle="1" w:styleId="cb1351711">
    <w:name w:val="cb1351711"/>
    <w:basedOn w:val="DefaultParagraphFont"/>
    <w:rPr>
      <w:rFonts w:ascii="Arial" w:hAnsi="Arial" w:cs="Arial" w:hint="default"/>
      <w:color w:val="000000"/>
      <w:sz w:val="16"/>
      <w:szCs w:val="16"/>
      <w:shd w:val="clear" w:color="auto" w:fill="FFFF00"/>
    </w:rPr>
  </w:style>
  <w:style w:type="character" w:customStyle="1" w:styleId="cb1351721">
    <w:name w:val="cb1351721"/>
    <w:basedOn w:val="DefaultParagraphFont"/>
    <w:rPr>
      <w:rFonts w:ascii="Arial" w:hAnsi="Arial" w:cs="Arial" w:hint="default"/>
      <w:color w:val="000000"/>
      <w:sz w:val="22"/>
      <w:szCs w:val="22"/>
      <w:shd w:val="clear" w:color="auto" w:fill="00FFFF"/>
    </w:rPr>
  </w:style>
  <w:style w:type="character" w:customStyle="1" w:styleId="cb1351731">
    <w:name w:val="cb1351731"/>
    <w:basedOn w:val="DefaultParagraphFont"/>
    <w:rPr>
      <w:rFonts w:ascii="Arial" w:hAnsi="Arial" w:cs="Arial" w:hint="default"/>
      <w:b/>
      <w:bCs/>
      <w:color w:val="000000"/>
      <w:sz w:val="22"/>
      <w:szCs w:val="22"/>
      <w:shd w:val="clear" w:color="auto" w:fill="00FFFF"/>
    </w:rPr>
  </w:style>
  <w:style w:type="character" w:customStyle="1" w:styleId="c293a4791">
    <w:name w:val="c293a4791"/>
    <w:basedOn w:val="DefaultParagraphFont"/>
    <w:rPr>
      <w:rFonts w:ascii="Arial" w:hAnsi="Arial" w:cs="Arial" w:hint="default"/>
      <w:b/>
      <w:bCs/>
      <w:color w:val="000000"/>
      <w:sz w:val="22"/>
      <w:szCs w:val="22"/>
    </w:rPr>
  </w:style>
  <w:style w:type="character" w:customStyle="1" w:styleId="normal17">
    <w:name w:val="normal17"/>
    <w:basedOn w:val="DefaultParagraphFont"/>
    <w:rPr>
      <w:rFonts w:ascii="Arial" w:hAnsi="Arial" w:cs="Arial" w:hint="default"/>
      <w:color w:val="000000"/>
      <w:sz w:val="22"/>
      <w:szCs w:val="22"/>
    </w:rPr>
  </w:style>
  <w:style w:type="character" w:customStyle="1" w:styleId="c293a4781">
    <w:name w:val="c293a4781"/>
    <w:basedOn w:val="DefaultParagraphFont"/>
    <w:rPr>
      <w:rFonts w:ascii="Arial" w:hAnsi="Arial" w:cs="Arial" w:hint="default"/>
      <w:b/>
      <w:bCs/>
      <w:color w:val="000000"/>
      <w:sz w:val="22"/>
      <w:szCs w:val="22"/>
    </w:rPr>
  </w:style>
  <w:style w:type="character" w:customStyle="1" w:styleId="c293a4801">
    <w:name w:val="c293a4801"/>
    <w:basedOn w:val="DefaultParagraphFont"/>
    <w:rPr>
      <w:rFonts w:ascii="Arial" w:hAnsi="Arial" w:cs="Arial" w:hint="default"/>
      <w:color w:val="000000"/>
      <w:sz w:val="22"/>
      <w:szCs w:val="22"/>
      <w:shd w:val="clear" w:color="auto" w:fill="00FFFF"/>
    </w:rPr>
  </w:style>
  <w:style w:type="character" w:customStyle="1" w:styleId="c293a4811">
    <w:name w:val="c293a4811"/>
    <w:basedOn w:val="DefaultParagraphFont"/>
    <w:rPr>
      <w:rFonts w:ascii="Arial" w:hAnsi="Arial" w:cs="Arial" w:hint="default"/>
      <w:b/>
      <w:bCs/>
      <w:color w:val="000000"/>
      <w:sz w:val="22"/>
      <w:szCs w:val="22"/>
      <w:shd w:val="clear" w:color="auto" w:fill="00FFFF"/>
    </w:rPr>
  </w:style>
  <w:style w:type="character" w:customStyle="1" w:styleId="c293a4831">
    <w:name w:val="c293a4831"/>
    <w:basedOn w:val="DefaultParagraphFont"/>
    <w:rPr>
      <w:rFonts w:ascii="Arial" w:hAnsi="Arial" w:cs="Arial" w:hint="default"/>
      <w:color w:val="000000"/>
      <w:sz w:val="22"/>
      <w:szCs w:val="22"/>
      <w:u w:val="single"/>
      <w:shd w:val="clear" w:color="auto" w:fill="00FFFF"/>
    </w:rPr>
  </w:style>
  <w:style w:type="character" w:customStyle="1" w:styleId="c293a4841">
    <w:name w:val="c293a4841"/>
    <w:basedOn w:val="DefaultParagraphFont"/>
    <w:rPr>
      <w:rFonts w:ascii="Arial" w:hAnsi="Arial" w:cs="Arial" w:hint="default"/>
      <w:color w:val="000000"/>
      <w:sz w:val="22"/>
      <w:szCs w:val="22"/>
      <w:shd w:val="clear" w:color="auto" w:fill="C0C0C0"/>
    </w:rPr>
  </w:style>
  <w:style w:type="character" w:customStyle="1" w:styleId="c293a4861">
    <w:name w:val="c293a4861"/>
    <w:basedOn w:val="DefaultParagraphFont"/>
    <w:rPr>
      <w:rFonts w:ascii="Arial" w:hAnsi="Arial" w:cs="Arial" w:hint="default"/>
      <w:color w:val="000000"/>
      <w:sz w:val="16"/>
      <w:szCs w:val="16"/>
      <w:shd w:val="clear" w:color="auto" w:fill="FFFF00"/>
    </w:rPr>
  </w:style>
  <w:style w:type="character" w:customStyle="1" w:styleId="cf666d801">
    <w:name w:val="cf666d801"/>
    <w:basedOn w:val="DefaultParagraphFont"/>
    <w:rPr>
      <w:rFonts w:ascii="Arial" w:hAnsi="Arial" w:cs="Arial" w:hint="default"/>
      <w:b/>
      <w:bCs/>
      <w:color w:val="000000"/>
      <w:sz w:val="22"/>
      <w:szCs w:val="22"/>
      <w:shd w:val="clear" w:color="auto" w:fill="00FFFF"/>
    </w:rPr>
  </w:style>
  <w:style w:type="character" w:customStyle="1" w:styleId="normal19">
    <w:name w:val="normal19"/>
    <w:basedOn w:val="DefaultParagraphFont"/>
    <w:rPr>
      <w:rFonts w:ascii="Arial" w:hAnsi="Arial" w:cs="Arial" w:hint="default"/>
      <w:color w:val="000000"/>
      <w:sz w:val="22"/>
      <w:szCs w:val="22"/>
    </w:rPr>
  </w:style>
  <w:style w:type="character" w:customStyle="1" w:styleId="cf666d781">
    <w:name w:val="cf666d781"/>
    <w:basedOn w:val="DefaultParagraphFont"/>
    <w:rPr>
      <w:rFonts w:ascii="Arial" w:hAnsi="Arial" w:cs="Arial" w:hint="default"/>
      <w:b/>
      <w:bCs/>
      <w:color w:val="000000"/>
      <w:sz w:val="22"/>
      <w:szCs w:val="22"/>
    </w:rPr>
  </w:style>
  <w:style w:type="character" w:customStyle="1" w:styleId="cf666d811">
    <w:name w:val="cf666d811"/>
    <w:basedOn w:val="DefaultParagraphFont"/>
    <w:rPr>
      <w:rFonts w:ascii="Arial" w:hAnsi="Arial" w:cs="Arial" w:hint="default"/>
      <w:color w:val="000000"/>
      <w:sz w:val="22"/>
      <w:szCs w:val="22"/>
      <w:shd w:val="clear" w:color="auto" w:fill="C0C0C0"/>
    </w:rPr>
  </w:style>
  <w:style w:type="character" w:customStyle="1" w:styleId="cf666d831">
    <w:name w:val="cf666d831"/>
    <w:basedOn w:val="DefaultParagraphFont"/>
    <w:rPr>
      <w:rFonts w:ascii="Arial" w:hAnsi="Arial" w:cs="Arial" w:hint="default"/>
      <w:color w:val="000000"/>
      <w:sz w:val="16"/>
      <w:szCs w:val="16"/>
      <w:shd w:val="clear" w:color="auto" w:fill="FFFF00"/>
    </w:rPr>
  </w:style>
  <w:style w:type="character" w:customStyle="1" w:styleId="cf666d841">
    <w:name w:val="cf666d841"/>
    <w:basedOn w:val="DefaultParagraphFont"/>
    <w:rPr>
      <w:rFonts w:ascii="Arial" w:hAnsi="Arial" w:cs="Arial" w:hint="default"/>
      <w:color w:val="000000"/>
      <w:sz w:val="22"/>
      <w:szCs w:val="22"/>
      <w:shd w:val="clear" w:color="auto" w:fill="00FFFF"/>
    </w:rPr>
  </w:style>
  <w:style w:type="character" w:customStyle="1" w:styleId="cf666d851">
    <w:name w:val="cf666d851"/>
    <w:basedOn w:val="DefaultParagraphFont"/>
    <w:rPr>
      <w:rFonts w:ascii="Arial" w:hAnsi="Arial" w:cs="Arial" w:hint="default"/>
      <w:b/>
      <w:bCs/>
      <w:color w:val="000000"/>
      <w:sz w:val="22"/>
      <w:szCs w:val="22"/>
      <w:shd w:val="clear" w:color="auto" w:fill="00FFFF"/>
    </w:rPr>
  </w:style>
  <w:style w:type="character" w:customStyle="1" w:styleId="c5c9461021">
    <w:name w:val="c5c9461021"/>
    <w:basedOn w:val="DefaultParagraphFont"/>
    <w:rPr>
      <w:rFonts w:ascii="Arial" w:hAnsi="Arial" w:cs="Arial" w:hint="default"/>
      <w:b/>
      <w:bCs/>
      <w:color w:val="000000"/>
      <w:sz w:val="22"/>
      <w:szCs w:val="22"/>
    </w:rPr>
  </w:style>
  <w:style w:type="character" w:customStyle="1" w:styleId="normal20">
    <w:name w:val="normal20"/>
    <w:basedOn w:val="DefaultParagraphFont"/>
    <w:rPr>
      <w:rFonts w:ascii="Arial" w:hAnsi="Arial" w:cs="Arial" w:hint="default"/>
      <w:color w:val="000000"/>
      <w:sz w:val="22"/>
      <w:szCs w:val="22"/>
    </w:rPr>
  </w:style>
  <w:style w:type="character" w:customStyle="1" w:styleId="c5c9461011">
    <w:name w:val="c5c9461011"/>
    <w:basedOn w:val="DefaultParagraphFont"/>
    <w:rPr>
      <w:rFonts w:ascii="Arial" w:hAnsi="Arial" w:cs="Arial" w:hint="default"/>
      <w:b/>
      <w:bCs/>
      <w:color w:val="000000"/>
      <w:sz w:val="22"/>
      <w:szCs w:val="22"/>
    </w:rPr>
  </w:style>
  <w:style w:type="character" w:customStyle="1" w:styleId="c5c9461031">
    <w:name w:val="c5c9461031"/>
    <w:basedOn w:val="DefaultParagraphFont"/>
    <w:rPr>
      <w:rFonts w:ascii="Arial" w:hAnsi="Arial" w:cs="Arial" w:hint="default"/>
      <w:color w:val="000000"/>
      <w:sz w:val="22"/>
      <w:szCs w:val="22"/>
      <w:shd w:val="clear" w:color="auto" w:fill="00FFFF"/>
    </w:rPr>
  </w:style>
  <w:style w:type="character" w:customStyle="1" w:styleId="c5c9461041">
    <w:name w:val="c5c9461041"/>
    <w:basedOn w:val="DefaultParagraphFont"/>
    <w:rPr>
      <w:rFonts w:ascii="Arial" w:hAnsi="Arial" w:cs="Arial" w:hint="default"/>
      <w:color w:val="000000"/>
      <w:sz w:val="22"/>
      <w:szCs w:val="22"/>
      <w:u w:val="single"/>
      <w:shd w:val="clear" w:color="auto" w:fill="00FFFF"/>
    </w:rPr>
  </w:style>
  <w:style w:type="character" w:customStyle="1" w:styleId="c5c9461061">
    <w:name w:val="c5c9461061"/>
    <w:basedOn w:val="DefaultParagraphFont"/>
    <w:rPr>
      <w:rFonts w:ascii="Arial" w:hAnsi="Arial" w:cs="Arial" w:hint="default"/>
      <w:color w:val="000000"/>
      <w:sz w:val="22"/>
      <w:szCs w:val="22"/>
      <w:shd w:val="clear" w:color="auto" w:fill="C0C0C0"/>
    </w:rPr>
  </w:style>
  <w:style w:type="character" w:customStyle="1" w:styleId="c5c9461081">
    <w:name w:val="c5c9461081"/>
    <w:basedOn w:val="DefaultParagraphFont"/>
    <w:rPr>
      <w:rFonts w:ascii="Arial" w:hAnsi="Arial" w:cs="Arial" w:hint="default"/>
      <w:color w:val="000000"/>
      <w:sz w:val="16"/>
      <w:szCs w:val="16"/>
      <w:shd w:val="clear" w:color="auto" w:fill="FFFF00"/>
    </w:rPr>
  </w:style>
  <w:style w:type="character" w:customStyle="1" w:styleId="cdb1da1131">
    <w:name w:val="cdb1da1131"/>
    <w:basedOn w:val="DefaultParagraphFont"/>
    <w:rPr>
      <w:rFonts w:ascii="Arial" w:hAnsi="Arial" w:cs="Arial" w:hint="default"/>
      <w:b/>
      <w:bCs/>
      <w:color w:val="000000"/>
      <w:sz w:val="22"/>
      <w:szCs w:val="22"/>
      <w:shd w:val="clear" w:color="auto" w:fill="00FFFF"/>
    </w:rPr>
  </w:style>
  <w:style w:type="character" w:customStyle="1" w:styleId="normal22">
    <w:name w:val="normal22"/>
    <w:basedOn w:val="DefaultParagraphFont"/>
    <w:rPr>
      <w:rFonts w:ascii="Arial" w:hAnsi="Arial" w:cs="Arial" w:hint="default"/>
      <w:color w:val="000000"/>
      <w:sz w:val="22"/>
      <w:szCs w:val="22"/>
    </w:rPr>
  </w:style>
  <w:style w:type="character" w:customStyle="1" w:styleId="cdb1da1151">
    <w:name w:val="cdb1da1151"/>
    <w:basedOn w:val="DefaultParagraphFont"/>
    <w:rPr>
      <w:rFonts w:ascii="Arial" w:hAnsi="Arial" w:cs="Arial" w:hint="default"/>
      <w:color w:val="000000"/>
      <w:sz w:val="16"/>
      <w:szCs w:val="16"/>
      <w:shd w:val="clear" w:color="auto" w:fill="FFFF00"/>
    </w:rPr>
  </w:style>
  <w:style w:type="character" w:customStyle="1" w:styleId="cdb1da1111">
    <w:name w:val="cdb1da1111"/>
    <w:basedOn w:val="DefaultParagraphFont"/>
    <w:rPr>
      <w:rFonts w:ascii="Arial" w:hAnsi="Arial" w:cs="Arial" w:hint="default"/>
      <w:b/>
      <w:bCs/>
      <w:color w:val="000000"/>
      <w:sz w:val="22"/>
      <w:szCs w:val="22"/>
    </w:rPr>
  </w:style>
  <w:style w:type="character" w:customStyle="1" w:styleId="cdb1da1161">
    <w:name w:val="cdb1da1161"/>
    <w:basedOn w:val="DefaultParagraphFont"/>
    <w:rPr>
      <w:rFonts w:ascii="Arial" w:hAnsi="Arial" w:cs="Arial" w:hint="default"/>
      <w:color w:val="000000"/>
      <w:sz w:val="22"/>
      <w:szCs w:val="22"/>
      <w:shd w:val="clear" w:color="auto" w:fill="C0C0C0"/>
    </w:rPr>
  </w:style>
  <w:style w:type="character" w:customStyle="1" w:styleId="cdb1da1191">
    <w:name w:val="cdb1da1191"/>
    <w:basedOn w:val="DefaultParagraphFont"/>
    <w:rPr>
      <w:rFonts w:ascii="Arial" w:hAnsi="Arial" w:cs="Arial" w:hint="default"/>
      <w:color w:val="000000"/>
      <w:sz w:val="22"/>
      <w:szCs w:val="22"/>
      <w:u w:val="single"/>
      <w:shd w:val="clear" w:color="auto" w:fill="00FFFF"/>
    </w:rPr>
  </w:style>
  <w:style w:type="character" w:customStyle="1" w:styleId="c63c4d1121">
    <w:name w:val="c63c4d1121"/>
    <w:basedOn w:val="DefaultParagraphFont"/>
    <w:rPr>
      <w:rFonts w:ascii="Arial" w:hAnsi="Arial" w:cs="Arial" w:hint="default"/>
      <w:b/>
      <w:bCs/>
      <w:color w:val="000000"/>
      <w:sz w:val="22"/>
      <w:szCs w:val="22"/>
    </w:rPr>
  </w:style>
  <w:style w:type="character" w:customStyle="1" w:styleId="normal24">
    <w:name w:val="normal24"/>
    <w:basedOn w:val="DefaultParagraphFont"/>
    <w:rPr>
      <w:rFonts w:ascii="Arial" w:hAnsi="Arial" w:cs="Arial" w:hint="default"/>
      <w:color w:val="000000"/>
      <w:sz w:val="22"/>
      <w:szCs w:val="22"/>
    </w:rPr>
  </w:style>
  <w:style w:type="character" w:customStyle="1" w:styleId="c63c4d1111">
    <w:name w:val="c63c4d1111"/>
    <w:basedOn w:val="DefaultParagraphFont"/>
    <w:rPr>
      <w:rFonts w:ascii="Arial" w:hAnsi="Arial" w:cs="Arial" w:hint="default"/>
      <w:b/>
      <w:bCs/>
      <w:color w:val="000000"/>
      <w:sz w:val="22"/>
      <w:szCs w:val="22"/>
    </w:rPr>
  </w:style>
  <w:style w:type="character" w:customStyle="1" w:styleId="c63c4d1131">
    <w:name w:val="c63c4d1131"/>
    <w:basedOn w:val="DefaultParagraphFont"/>
    <w:rPr>
      <w:rFonts w:ascii="Arial" w:hAnsi="Arial" w:cs="Arial" w:hint="default"/>
      <w:b/>
      <w:bCs/>
      <w:color w:val="000000"/>
      <w:sz w:val="22"/>
      <w:szCs w:val="22"/>
      <w:shd w:val="clear" w:color="auto" w:fill="00FFFF"/>
    </w:rPr>
  </w:style>
  <w:style w:type="character" w:customStyle="1" w:styleId="c63c4d1161">
    <w:name w:val="c63c4d1161"/>
    <w:basedOn w:val="DefaultParagraphFont"/>
    <w:rPr>
      <w:rFonts w:ascii="Arial" w:hAnsi="Arial" w:cs="Arial" w:hint="default"/>
      <w:color w:val="000000"/>
      <w:sz w:val="16"/>
      <w:szCs w:val="16"/>
      <w:shd w:val="clear" w:color="auto" w:fill="FFFF00"/>
    </w:rPr>
  </w:style>
  <w:style w:type="character" w:customStyle="1" w:styleId="cc9c571181">
    <w:name w:val="cc9c571181"/>
    <w:basedOn w:val="DefaultParagraphFont"/>
    <w:rPr>
      <w:rFonts w:ascii="Arial" w:hAnsi="Arial" w:cs="Arial" w:hint="default"/>
      <w:b/>
      <w:bCs/>
      <w:color w:val="000000"/>
      <w:sz w:val="22"/>
      <w:szCs w:val="22"/>
    </w:rPr>
  </w:style>
  <w:style w:type="character" w:customStyle="1" w:styleId="normal25">
    <w:name w:val="normal25"/>
    <w:basedOn w:val="DefaultParagraphFont"/>
    <w:rPr>
      <w:rFonts w:ascii="Arial" w:hAnsi="Arial" w:cs="Arial" w:hint="default"/>
      <w:color w:val="000000"/>
      <w:sz w:val="22"/>
      <w:szCs w:val="22"/>
    </w:rPr>
  </w:style>
  <w:style w:type="character" w:customStyle="1" w:styleId="cc9c571171">
    <w:name w:val="cc9c571171"/>
    <w:basedOn w:val="DefaultParagraphFont"/>
    <w:rPr>
      <w:rFonts w:ascii="Arial" w:hAnsi="Arial" w:cs="Arial" w:hint="default"/>
      <w:b/>
      <w:bCs/>
      <w:color w:val="000000"/>
      <w:sz w:val="22"/>
      <w:szCs w:val="22"/>
    </w:rPr>
  </w:style>
  <w:style w:type="character" w:customStyle="1" w:styleId="cc9c571191">
    <w:name w:val="cc9c571191"/>
    <w:basedOn w:val="DefaultParagraphFont"/>
    <w:rPr>
      <w:rFonts w:ascii="Arial" w:hAnsi="Arial" w:cs="Arial" w:hint="default"/>
      <w:color w:val="000000"/>
      <w:sz w:val="22"/>
      <w:szCs w:val="22"/>
      <w:shd w:val="clear" w:color="auto" w:fill="C0C0C0"/>
    </w:rPr>
  </w:style>
  <w:style w:type="character" w:customStyle="1" w:styleId="c5530a1211">
    <w:name w:val="c5530a1211"/>
    <w:basedOn w:val="DefaultParagraphFont"/>
    <w:rPr>
      <w:rFonts w:ascii="Arial" w:hAnsi="Arial" w:cs="Arial" w:hint="default"/>
      <w:b/>
      <w:bCs/>
      <w:color w:val="000000"/>
      <w:sz w:val="22"/>
      <w:szCs w:val="22"/>
    </w:rPr>
  </w:style>
  <w:style w:type="character" w:customStyle="1" w:styleId="c5530a1221">
    <w:name w:val="c5530a1221"/>
    <w:basedOn w:val="DefaultParagraphFont"/>
    <w:rPr>
      <w:rFonts w:ascii="Arial" w:hAnsi="Arial" w:cs="Arial" w:hint="default"/>
      <w:b/>
      <w:bCs/>
      <w:color w:val="000000"/>
      <w:sz w:val="22"/>
      <w:szCs w:val="22"/>
      <w:shd w:val="clear" w:color="auto" w:fill="00FFFF"/>
    </w:rPr>
  </w:style>
  <w:style w:type="character" w:customStyle="1" w:styleId="normal26">
    <w:name w:val="normal26"/>
    <w:basedOn w:val="DefaultParagraphFont"/>
    <w:rPr>
      <w:rFonts w:ascii="Arial" w:hAnsi="Arial" w:cs="Arial" w:hint="default"/>
      <w:color w:val="000000"/>
      <w:sz w:val="22"/>
      <w:szCs w:val="22"/>
    </w:rPr>
  </w:style>
  <w:style w:type="character" w:customStyle="1" w:styleId="c5530a1241">
    <w:name w:val="c5530a1241"/>
    <w:basedOn w:val="DefaultParagraphFont"/>
    <w:rPr>
      <w:rFonts w:ascii="Arial" w:hAnsi="Arial" w:cs="Arial" w:hint="default"/>
      <w:color w:val="000000"/>
      <w:sz w:val="16"/>
      <w:szCs w:val="16"/>
      <w:shd w:val="clear" w:color="auto" w:fill="FFFF00"/>
    </w:rPr>
  </w:style>
  <w:style w:type="character" w:customStyle="1" w:styleId="c5530a1261">
    <w:name w:val="c5530a1261"/>
    <w:basedOn w:val="DefaultParagraphFont"/>
    <w:rPr>
      <w:rFonts w:ascii="Arial" w:hAnsi="Arial" w:cs="Arial" w:hint="default"/>
      <w:b/>
      <w:bCs/>
      <w:color w:val="000000"/>
      <w:sz w:val="16"/>
      <w:szCs w:val="16"/>
      <w:shd w:val="clear" w:color="auto" w:fill="FFFF00"/>
    </w:rPr>
  </w:style>
  <w:style w:type="character" w:customStyle="1" w:styleId="c5530a1201">
    <w:name w:val="c5530a1201"/>
    <w:basedOn w:val="DefaultParagraphFont"/>
    <w:rPr>
      <w:rFonts w:ascii="Arial" w:hAnsi="Arial" w:cs="Arial" w:hint="default"/>
      <w:b/>
      <w:bCs/>
      <w:color w:val="000000"/>
      <w:sz w:val="22"/>
      <w:szCs w:val="22"/>
    </w:rPr>
  </w:style>
  <w:style w:type="character" w:customStyle="1" w:styleId="cac7d31281">
    <w:name w:val="cac7d31281"/>
    <w:basedOn w:val="DefaultParagraphFont"/>
    <w:rPr>
      <w:rFonts w:ascii="Arial" w:hAnsi="Arial" w:cs="Arial" w:hint="default"/>
      <w:b/>
      <w:bCs/>
      <w:color w:val="000000"/>
      <w:sz w:val="22"/>
      <w:szCs w:val="22"/>
    </w:rPr>
  </w:style>
  <w:style w:type="character" w:customStyle="1" w:styleId="normal27">
    <w:name w:val="normal27"/>
    <w:basedOn w:val="DefaultParagraphFont"/>
    <w:rPr>
      <w:rFonts w:ascii="Arial" w:hAnsi="Arial" w:cs="Arial" w:hint="default"/>
      <w:color w:val="000000"/>
      <w:sz w:val="22"/>
      <w:szCs w:val="22"/>
    </w:rPr>
  </w:style>
  <w:style w:type="character" w:customStyle="1" w:styleId="cac7d31271">
    <w:name w:val="cac7d31271"/>
    <w:basedOn w:val="DefaultParagraphFont"/>
    <w:rPr>
      <w:rFonts w:ascii="Arial" w:hAnsi="Arial" w:cs="Arial" w:hint="default"/>
      <w:b/>
      <w:bCs/>
      <w:color w:val="000000"/>
      <w:sz w:val="22"/>
      <w:szCs w:val="22"/>
    </w:rPr>
  </w:style>
  <w:style w:type="character" w:customStyle="1" w:styleId="cac7d31291">
    <w:name w:val="cac7d31291"/>
    <w:basedOn w:val="DefaultParagraphFont"/>
    <w:rPr>
      <w:rFonts w:ascii="Arial" w:hAnsi="Arial" w:cs="Arial" w:hint="default"/>
      <w:color w:val="000000"/>
      <w:sz w:val="22"/>
      <w:szCs w:val="22"/>
      <w:shd w:val="clear" w:color="auto" w:fill="C0C0C0"/>
    </w:rPr>
  </w:style>
  <w:style w:type="character" w:customStyle="1" w:styleId="c82c9b1361">
    <w:name w:val="c82c9b1361"/>
    <w:basedOn w:val="DefaultParagraphFont"/>
    <w:rPr>
      <w:rFonts w:ascii="Arial" w:hAnsi="Arial" w:cs="Arial" w:hint="default"/>
      <w:b/>
      <w:bCs/>
      <w:color w:val="000000"/>
      <w:sz w:val="22"/>
      <w:szCs w:val="22"/>
      <w:shd w:val="clear" w:color="auto" w:fill="00FFFF"/>
    </w:rPr>
  </w:style>
  <w:style w:type="character" w:customStyle="1" w:styleId="normal28">
    <w:name w:val="normal28"/>
    <w:basedOn w:val="DefaultParagraphFont"/>
    <w:rPr>
      <w:rFonts w:ascii="Arial" w:hAnsi="Arial" w:cs="Arial" w:hint="default"/>
      <w:color w:val="000000"/>
      <w:sz w:val="22"/>
      <w:szCs w:val="22"/>
    </w:rPr>
  </w:style>
  <w:style w:type="character" w:customStyle="1" w:styleId="c82c9b1321">
    <w:name w:val="c82c9b1321"/>
    <w:basedOn w:val="DefaultParagraphFont"/>
    <w:rPr>
      <w:rFonts w:ascii="Arial" w:hAnsi="Arial" w:cs="Arial" w:hint="default"/>
      <w:color w:val="000000"/>
      <w:sz w:val="22"/>
      <w:szCs w:val="22"/>
      <w:shd w:val="clear" w:color="auto" w:fill="C0C0C0"/>
    </w:rPr>
  </w:style>
  <w:style w:type="character" w:customStyle="1" w:styleId="c82c9b1341">
    <w:name w:val="c82c9b1341"/>
    <w:basedOn w:val="DefaultParagraphFont"/>
    <w:rPr>
      <w:rFonts w:ascii="Arial" w:hAnsi="Arial" w:cs="Arial" w:hint="default"/>
      <w:color w:val="000000"/>
      <w:sz w:val="16"/>
      <w:szCs w:val="16"/>
      <w:shd w:val="clear" w:color="auto" w:fill="FFFF00"/>
    </w:rPr>
  </w:style>
  <w:style w:type="character" w:customStyle="1" w:styleId="cc4461401">
    <w:name w:val="cc446140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normal4">
    <w:name w:val="normal4"/>
    <w:basedOn w:val="DefaultParagraphFont"/>
    <w:rPr>
      <w:rFonts w:ascii="Arial" w:hAnsi="Arial" w:cs="Arial" w:hint="default"/>
      <w:color w:val="000000"/>
      <w:sz w:val="22"/>
      <w:szCs w:val="22"/>
    </w:rPr>
  </w:style>
  <w:style w:type="character" w:customStyle="1" w:styleId="caf4e791">
    <w:name w:val="caf4e791"/>
    <w:basedOn w:val="DefaultParagraphFont"/>
    <w:rPr>
      <w:rFonts w:ascii="Arial" w:hAnsi="Arial" w:cs="Arial" w:hint="default"/>
      <w:b/>
      <w:bCs/>
      <w:color w:val="000000"/>
      <w:sz w:val="22"/>
      <w:szCs w:val="22"/>
    </w:rPr>
  </w:style>
  <w:style w:type="character" w:customStyle="1" w:styleId="normal6">
    <w:name w:val="normal6"/>
    <w:basedOn w:val="DefaultParagraphFont"/>
    <w:rPr>
      <w:rFonts w:ascii="Arial" w:hAnsi="Arial" w:cs="Arial" w:hint="default"/>
      <w:color w:val="000000"/>
      <w:sz w:val="22"/>
      <w:szCs w:val="22"/>
    </w:rPr>
  </w:style>
  <w:style w:type="character" w:customStyle="1" w:styleId="ceb3fa641">
    <w:name w:val="ceb3fa641"/>
    <w:basedOn w:val="DefaultParagraphFont"/>
    <w:rPr>
      <w:rFonts w:ascii="Arial" w:hAnsi="Arial" w:cs="Arial" w:hint="default"/>
      <w:color w:val="000000"/>
      <w:sz w:val="22"/>
      <w:szCs w:val="22"/>
      <w:shd w:val="clear" w:color="auto" w:fill="00FFFF"/>
    </w:rPr>
  </w:style>
  <w:style w:type="character" w:customStyle="1" w:styleId="normal8">
    <w:name w:val="normal8"/>
    <w:basedOn w:val="DefaultParagraphFont"/>
    <w:rPr>
      <w:rFonts w:ascii="Arial" w:hAnsi="Arial" w:cs="Arial" w:hint="default"/>
      <w:color w:val="000000"/>
      <w:sz w:val="22"/>
      <w:szCs w:val="22"/>
    </w:rPr>
  </w:style>
  <w:style w:type="character" w:customStyle="1" w:styleId="cff0be241">
    <w:name w:val="cff0be241"/>
    <w:basedOn w:val="DefaultParagraphFont"/>
    <w:rPr>
      <w:rFonts w:ascii="Arial" w:hAnsi="Arial" w:cs="Arial" w:hint="default"/>
      <w:color w:val="000000"/>
      <w:sz w:val="22"/>
      <w:szCs w:val="22"/>
      <w:shd w:val="clear" w:color="auto" w:fill="00FFFF"/>
    </w:rPr>
  </w:style>
  <w:style w:type="character" w:customStyle="1" w:styleId="normal10">
    <w:name w:val="normal10"/>
    <w:basedOn w:val="DefaultParagraphFont"/>
    <w:rPr>
      <w:rFonts w:ascii="Arial" w:hAnsi="Arial" w:cs="Arial" w:hint="default"/>
      <w:color w:val="000000"/>
      <w:sz w:val="22"/>
      <w:szCs w:val="22"/>
    </w:rPr>
  </w:style>
  <w:style w:type="character" w:customStyle="1" w:styleId="normal12">
    <w:name w:val="normal12"/>
    <w:basedOn w:val="DefaultParagraphFont"/>
    <w:rPr>
      <w:rFonts w:ascii="Arial" w:hAnsi="Arial" w:cs="Arial" w:hint="default"/>
      <w:color w:val="000000"/>
      <w:sz w:val="22"/>
      <w:szCs w:val="22"/>
    </w:rPr>
  </w:style>
  <w:style w:type="character" w:customStyle="1" w:styleId="normal14">
    <w:name w:val="normal14"/>
    <w:basedOn w:val="DefaultParagraphFont"/>
    <w:rPr>
      <w:rFonts w:ascii="Arial" w:hAnsi="Arial" w:cs="Arial" w:hint="default"/>
      <w:color w:val="000000"/>
      <w:sz w:val="22"/>
      <w:szCs w:val="22"/>
    </w:rPr>
  </w:style>
  <w:style w:type="character" w:customStyle="1" w:styleId="normal16">
    <w:name w:val="normal16"/>
    <w:basedOn w:val="DefaultParagraphFont"/>
    <w:rPr>
      <w:rFonts w:ascii="Arial" w:hAnsi="Arial" w:cs="Arial" w:hint="default"/>
      <w:color w:val="000000"/>
      <w:sz w:val="22"/>
      <w:szCs w:val="22"/>
    </w:rPr>
  </w:style>
  <w:style w:type="character" w:customStyle="1" w:styleId="normal18">
    <w:name w:val="normal18"/>
    <w:basedOn w:val="DefaultParagraphFont"/>
    <w:rPr>
      <w:rFonts w:ascii="Arial" w:hAnsi="Arial" w:cs="Arial" w:hint="default"/>
      <w:color w:val="000000"/>
      <w:sz w:val="22"/>
      <w:szCs w:val="22"/>
    </w:rPr>
  </w:style>
  <w:style w:type="character" w:customStyle="1" w:styleId="normal21">
    <w:name w:val="normal21"/>
    <w:basedOn w:val="DefaultParagraphFont"/>
    <w:rPr>
      <w:rFonts w:ascii="Arial" w:hAnsi="Arial" w:cs="Arial" w:hint="default"/>
      <w:color w:val="000000"/>
      <w:sz w:val="22"/>
      <w:szCs w:val="22"/>
    </w:rPr>
  </w:style>
  <w:style w:type="character" w:customStyle="1" w:styleId="normal23">
    <w:name w:val="normal23"/>
    <w:basedOn w:val="DefaultParagraphFont"/>
    <w:rPr>
      <w:rFonts w:ascii="Arial" w:hAnsi="Arial" w:cs="Arial"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after="0" w:line="240" w:lineRule="auto"/>
      <w:ind w:left="30"/>
    </w:pPr>
    <w:rPr>
      <w:rFonts w:ascii="Times New Roman" w:eastAsiaTheme="minorEastAsia" w:hAnsi="Times New Roman" w:cs="Times New Roman"/>
      <w:sz w:val="24"/>
      <w:szCs w:val="24"/>
      <w:lang w:eastAsia="de-AT"/>
    </w:rPr>
  </w:style>
  <w:style w:type="character" w:customStyle="1" w:styleId="cdc8d7411">
    <w:name w:val="cdc8d7411"/>
    <w:basedOn w:val="DefaultParagraphFont"/>
    <w:rPr>
      <w:rFonts w:ascii="Arial" w:hAnsi="Arial" w:cs="Arial" w:hint="default"/>
      <w:color w:val="000000"/>
      <w:sz w:val="22"/>
      <w:szCs w:val="22"/>
      <w:shd w:val="clear" w:color="auto" w:fill="FF00FF"/>
    </w:rPr>
  </w:style>
  <w:style w:type="character" w:customStyle="1" w:styleId="normal1">
    <w:name w:val="normal1"/>
    <w:basedOn w:val="DefaultParagraphFont"/>
    <w:rPr>
      <w:rFonts w:ascii="Arial" w:hAnsi="Arial" w:cs="Arial" w:hint="default"/>
      <w:color w:val="000000"/>
      <w:sz w:val="22"/>
      <w:szCs w:val="22"/>
    </w:rPr>
  </w:style>
  <w:style w:type="character" w:customStyle="1" w:styleId="cdc8d7421">
    <w:name w:val="cdc8d7421"/>
    <w:basedOn w:val="DefaultParagraphFont"/>
    <w:rPr>
      <w:rFonts w:ascii="Arial" w:hAnsi="Arial" w:cs="Arial" w:hint="default"/>
      <w:color w:val="000000"/>
      <w:sz w:val="16"/>
      <w:szCs w:val="16"/>
    </w:rPr>
  </w:style>
  <w:style w:type="character" w:customStyle="1" w:styleId="cdc8d7431">
    <w:name w:val="cdc8d7431"/>
    <w:basedOn w:val="DefaultParagraphFont"/>
    <w:rPr>
      <w:rFonts w:ascii="Arial" w:hAnsi="Arial" w:cs="Arial" w:hint="default"/>
      <w:color w:val="000000"/>
      <w:sz w:val="22"/>
      <w:szCs w:val="22"/>
      <w:shd w:val="clear" w:color="auto" w:fill="00FF00"/>
    </w:rPr>
  </w:style>
  <w:style w:type="character" w:customStyle="1" w:styleId="cdc8d7441">
    <w:name w:val="cdc8d7441"/>
    <w:basedOn w:val="DefaultParagraphFont"/>
    <w:rPr>
      <w:rFonts w:ascii="Arial" w:hAnsi="Arial" w:cs="Arial" w:hint="default"/>
      <w:color w:val="000000"/>
      <w:sz w:val="22"/>
      <w:szCs w:val="22"/>
      <w:shd w:val="clear" w:color="auto" w:fill="00FFFF"/>
    </w:rPr>
  </w:style>
  <w:style w:type="character" w:customStyle="1" w:styleId="cdc8d7451">
    <w:name w:val="cdc8d7451"/>
    <w:basedOn w:val="DefaultParagraphFont"/>
    <w:rPr>
      <w:rFonts w:ascii="Arial" w:hAnsi="Arial" w:cs="Arial" w:hint="default"/>
      <w:color w:val="000000"/>
      <w:sz w:val="22"/>
      <w:szCs w:val="22"/>
      <w:shd w:val="clear" w:color="auto" w:fill="C0C0C0"/>
    </w:rPr>
  </w:style>
  <w:style w:type="character" w:customStyle="1" w:styleId="cdc8d7461">
    <w:name w:val="cdc8d7461"/>
    <w:basedOn w:val="DefaultParagraphFont"/>
    <w:rPr>
      <w:rFonts w:ascii="Arial" w:hAnsi="Arial" w:cs="Arial" w:hint="default"/>
      <w:color w:val="000000"/>
      <w:sz w:val="22"/>
      <w:szCs w:val="22"/>
      <w:shd w:val="clear" w:color="auto" w:fill="FFFF00"/>
    </w:rPr>
  </w:style>
  <w:style w:type="character" w:customStyle="1" w:styleId="cdc8d7551">
    <w:name w:val="cdc8d7551"/>
    <w:basedOn w:val="DefaultParagraphFont"/>
    <w:rPr>
      <w:rFonts w:ascii="Arial" w:hAnsi="Arial" w:cs="Arial" w:hint="default"/>
      <w:b/>
      <w:bCs/>
      <w:color w:val="000000"/>
      <w:sz w:val="32"/>
      <w:szCs w:val="32"/>
    </w:rPr>
  </w:style>
  <w:style w:type="character" w:customStyle="1" w:styleId="cdc8d7491">
    <w:name w:val="cdc8d7491"/>
    <w:basedOn w:val="DefaultParagraphFont"/>
    <w:rPr>
      <w:rFonts w:ascii="Arial" w:hAnsi="Arial" w:cs="Arial" w:hint="default"/>
      <w:color w:val="000000"/>
      <w:sz w:val="22"/>
      <w:szCs w:val="22"/>
    </w:rPr>
  </w:style>
  <w:style w:type="character" w:customStyle="1" w:styleId="cdc8d7501">
    <w:name w:val="cdc8d7501"/>
    <w:basedOn w:val="DefaultParagraphFont"/>
    <w:rPr>
      <w:rFonts w:ascii="Arial" w:hAnsi="Arial" w:cs="Arial" w:hint="default"/>
      <w:color w:val="000000"/>
      <w:sz w:val="22"/>
      <w:szCs w:val="22"/>
      <w:shd w:val="clear" w:color="auto" w:fill="C0C0C0"/>
    </w:rPr>
  </w:style>
  <w:style w:type="character" w:customStyle="1" w:styleId="cdc8d7521">
    <w:name w:val="cdc8d7521"/>
    <w:basedOn w:val="DefaultParagraphFont"/>
    <w:rPr>
      <w:rFonts w:ascii="Arial" w:hAnsi="Arial" w:cs="Arial" w:hint="default"/>
      <w:color w:val="000000"/>
      <w:sz w:val="16"/>
      <w:szCs w:val="16"/>
      <w:shd w:val="clear" w:color="auto" w:fill="FFFF00"/>
    </w:rPr>
  </w:style>
  <w:style w:type="character" w:customStyle="1" w:styleId="cdc8d7541">
    <w:name w:val="cdc8d7541"/>
    <w:basedOn w:val="DefaultParagraphFont"/>
    <w:rPr>
      <w:rFonts w:ascii="Arial" w:hAnsi="Arial" w:cs="Arial" w:hint="default"/>
      <w:b/>
      <w:bCs/>
      <w:color w:val="000000"/>
      <w:sz w:val="22"/>
      <w:szCs w:val="22"/>
      <w:shd w:val="clear" w:color="auto" w:fill="00FFFF"/>
    </w:rPr>
  </w:style>
  <w:style w:type="character" w:customStyle="1" w:styleId="cdc8d7481">
    <w:name w:val="cdc8d7481"/>
    <w:basedOn w:val="DefaultParagraphFont"/>
    <w:rPr>
      <w:rFonts w:ascii="Arial" w:hAnsi="Arial" w:cs="Arial" w:hint="default"/>
      <w:b/>
      <w:bCs/>
      <w:color w:val="000000"/>
      <w:sz w:val="22"/>
      <w:szCs w:val="22"/>
    </w:rPr>
  </w:style>
  <w:style w:type="character" w:customStyle="1" w:styleId="c92bff161">
    <w:name w:val="c92bff161"/>
    <w:basedOn w:val="DefaultParagraphFont"/>
    <w:rPr>
      <w:rFonts w:ascii="Arial" w:hAnsi="Arial" w:cs="Arial" w:hint="default"/>
      <w:b/>
      <w:bCs/>
      <w:color w:val="000000"/>
      <w:sz w:val="22"/>
      <w:szCs w:val="22"/>
    </w:rPr>
  </w:style>
  <w:style w:type="character" w:customStyle="1" w:styleId="normal3">
    <w:name w:val="normal3"/>
    <w:basedOn w:val="DefaultParagraphFont"/>
    <w:rPr>
      <w:rFonts w:ascii="Arial" w:hAnsi="Arial" w:cs="Arial" w:hint="default"/>
      <w:color w:val="000000"/>
      <w:sz w:val="22"/>
      <w:szCs w:val="22"/>
    </w:rPr>
  </w:style>
  <w:style w:type="character" w:customStyle="1" w:styleId="c92bff171">
    <w:name w:val="c92bff171"/>
    <w:basedOn w:val="DefaultParagraphFont"/>
    <w:rPr>
      <w:rFonts w:ascii="Arial" w:hAnsi="Arial" w:cs="Arial" w:hint="default"/>
      <w:b/>
      <w:bCs/>
      <w:color w:val="000000"/>
      <w:sz w:val="22"/>
      <w:szCs w:val="22"/>
    </w:rPr>
  </w:style>
  <w:style w:type="character" w:customStyle="1" w:styleId="c92bff181">
    <w:name w:val="c92bff181"/>
    <w:basedOn w:val="DefaultParagraphFont"/>
    <w:rPr>
      <w:rFonts w:ascii="Arial" w:hAnsi="Arial" w:cs="Arial" w:hint="default"/>
      <w:color w:val="000000"/>
      <w:sz w:val="22"/>
      <w:szCs w:val="22"/>
      <w:shd w:val="clear" w:color="auto" w:fill="C0C0C0"/>
    </w:rPr>
  </w:style>
  <w:style w:type="character" w:customStyle="1" w:styleId="c92bff201">
    <w:name w:val="c92bff201"/>
    <w:basedOn w:val="DefaultParagraphFont"/>
    <w:rPr>
      <w:rFonts w:ascii="Arial" w:hAnsi="Arial" w:cs="Arial" w:hint="default"/>
      <w:color w:val="000000"/>
      <w:sz w:val="16"/>
      <w:szCs w:val="16"/>
      <w:shd w:val="clear" w:color="auto" w:fill="FFFF00"/>
    </w:rPr>
  </w:style>
  <w:style w:type="character" w:customStyle="1" w:styleId="c92bff211">
    <w:name w:val="c92bff211"/>
    <w:basedOn w:val="DefaultParagraphFont"/>
    <w:rPr>
      <w:rFonts w:ascii="Arial" w:hAnsi="Arial" w:cs="Arial" w:hint="default"/>
      <w:color w:val="000000"/>
      <w:sz w:val="22"/>
      <w:szCs w:val="22"/>
      <w:shd w:val="clear" w:color="auto" w:fill="00FFFF"/>
    </w:rPr>
  </w:style>
  <w:style w:type="character" w:customStyle="1" w:styleId="c92bff221">
    <w:name w:val="c92bff221"/>
    <w:basedOn w:val="DefaultParagraphFont"/>
    <w:rPr>
      <w:rFonts w:ascii="Arial" w:hAnsi="Arial" w:cs="Arial" w:hint="default"/>
      <w:b/>
      <w:bCs/>
      <w:color w:val="000000"/>
      <w:sz w:val="22"/>
      <w:szCs w:val="22"/>
      <w:shd w:val="clear" w:color="auto" w:fill="00FFFF"/>
    </w:rPr>
  </w:style>
  <w:style w:type="character" w:customStyle="1" w:styleId="c92bff241">
    <w:name w:val="c92bff241"/>
    <w:basedOn w:val="DefaultParagraphFont"/>
    <w:rPr>
      <w:rFonts w:ascii="Arial" w:hAnsi="Arial" w:cs="Arial" w:hint="default"/>
      <w:color w:val="000000"/>
      <w:sz w:val="22"/>
      <w:szCs w:val="22"/>
      <w:u w:val="single"/>
      <w:shd w:val="clear" w:color="auto" w:fill="00FFFF"/>
    </w:rPr>
  </w:style>
  <w:style w:type="character" w:customStyle="1" w:styleId="cfd4fa671">
    <w:name w:val="cfd4fa671"/>
    <w:basedOn w:val="DefaultParagraphFont"/>
    <w:rPr>
      <w:rFonts w:ascii="Arial" w:hAnsi="Arial" w:cs="Arial" w:hint="default"/>
      <w:b/>
      <w:bCs/>
      <w:color w:val="000000"/>
      <w:sz w:val="22"/>
      <w:szCs w:val="22"/>
    </w:rPr>
  </w:style>
  <w:style w:type="character" w:customStyle="1" w:styleId="normal5">
    <w:name w:val="normal5"/>
    <w:basedOn w:val="DefaultParagraphFont"/>
    <w:rPr>
      <w:rFonts w:ascii="Arial" w:hAnsi="Arial" w:cs="Arial" w:hint="default"/>
      <w:color w:val="000000"/>
      <w:sz w:val="22"/>
      <w:szCs w:val="22"/>
    </w:rPr>
  </w:style>
  <w:style w:type="character" w:customStyle="1" w:styleId="cfd4fa661">
    <w:name w:val="cfd4fa661"/>
    <w:basedOn w:val="DefaultParagraphFont"/>
    <w:rPr>
      <w:rFonts w:ascii="Arial" w:hAnsi="Arial" w:cs="Arial" w:hint="default"/>
      <w:b/>
      <w:bCs/>
      <w:color w:val="000000"/>
      <w:sz w:val="22"/>
      <w:szCs w:val="22"/>
    </w:rPr>
  </w:style>
  <w:style w:type="character" w:customStyle="1" w:styleId="cfd4fa681">
    <w:name w:val="cfd4fa681"/>
    <w:basedOn w:val="DefaultParagraphFont"/>
    <w:rPr>
      <w:rFonts w:ascii="Arial" w:hAnsi="Arial" w:cs="Arial" w:hint="default"/>
      <w:color w:val="000000"/>
      <w:sz w:val="22"/>
      <w:szCs w:val="22"/>
      <w:shd w:val="clear" w:color="auto" w:fill="00FFFF"/>
    </w:rPr>
  </w:style>
  <w:style w:type="character" w:customStyle="1" w:styleId="cfd4fa691">
    <w:name w:val="cfd4fa691"/>
    <w:basedOn w:val="DefaultParagraphFont"/>
    <w:rPr>
      <w:rFonts w:ascii="Arial" w:hAnsi="Arial" w:cs="Arial" w:hint="default"/>
      <w:b/>
      <w:bCs/>
      <w:color w:val="000000"/>
      <w:sz w:val="22"/>
      <w:szCs w:val="22"/>
      <w:shd w:val="clear" w:color="auto" w:fill="00FFFF"/>
    </w:rPr>
  </w:style>
  <w:style w:type="character" w:customStyle="1" w:styleId="cfd4fa701">
    <w:name w:val="cfd4fa701"/>
    <w:basedOn w:val="DefaultParagraphFont"/>
    <w:rPr>
      <w:rFonts w:ascii="Arial" w:hAnsi="Arial" w:cs="Arial" w:hint="default"/>
      <w:color w:val="000000"/>
      <w:sz w:val="22"/>
      <w:szCs w:val="22"/>
      <w:u w:val="single"/>
      <w:shd w:val="clear" w:color="auto" w:fill="00FFFF"/>
    </w:rPr>
  </w:style>
  <w:style w:type="character" w:customStyle="1" w:styleId="cfd4fa711">
    <w:name w:val="cfd4fa711"/>
    <w:basedOn w:val="DefaultParagraphFont"/>
    <w:rPr>
      <w:rFonts w:ascii="Arial" w:hAnsi="Arial" w:cs="Arial" w:hint="default"/>
      <w:color w:val="000000"/>
      <w:sz w:val="22"/>
      <w:szCs w:val="22"/>
      <w:shd w:val="clear" w:color="auto" w:fill="C0C0C0"/>
    </w:rPr>
  </w:style>
  <w:style w:type="character" w:customStyle="1" w:styleId="cfd4fa721">
    <w:name w:val="cfd4fa721"/>
    <w:basedOn w:val="DefaultParagraphFont"/>
    <w:rPr>
      <w:rFonts w:ascii="Arial" w:hAnsi="Arial" w:cs="Arial" w:hint="default"/>
      <w:color w:val="000000"/>
      <w:sz w:val="22"/>
      <w:szCs w:val="22"/>
    </w:rPr>
  </w:style>
  <w:style w:type="character" w:customStyle="1" w:styleId="c7ee9e261">
    <w:name w:val="c7ee9e261"/>
    <w:basedOn w:val="DefaultParagraphFont"/>
    <w:rPr>
      <w:rFonts w:ascii="Arial" w:hAnsi="Arial" w:cs="Arial" w:hint="default"/>
      <w:b/>
      <w:bCs/>
      <w:color w:val="000000"/>
      <w:sz w:val="22"/>
      <w:szCs w:val="22"/>
    </w:rPr>
  </w:style>
  <w:style w:type="character" w:customStyle="1" w:styleId="normal7">
    <w:name w:val="normal7"/>
    <w:basedOn w:val="DefaultParagraphFont"/>
    <w:rPr>
      <w:rFonts w:ascii="Arial" w:hAnsi="Arial" w:cs="Arial" w:hint="default"/>
      <w:color w:val="000000"/>
      <w:sz w:val="22"/>
      <w:szCs w:val="22"/>
    </w:rPr>
  </w:style>
  <w:style w:type="character" w:customStyle="1" w:styleId="c7ee9e251">
    <w:name w:val="c7ee9e251"/>
    <w:basedOn w:val="DefaultParagraphFont"/>
    <w:rPr>
      <w:rFonts w:ascii="Arial" w:hAnsi="Arial" w:cs="Arial" w:hint="default"/>
      <w:b/>
      <w:bCs/>
      <w:color w:val="000000"/>
      <w:sz w:val="22"/>
      <w:szCs w:val="22"/>
    </w:rPr>
  </w:style>
  <w:style w:type="character" w:customStyle="1" w:styleId="c7ee9e271">
    <w:name w:val="c7ee9e271"/>
    <w:basedOn w:val="DefaultParagraphFont"/>
    <w:rPr>
      <w:rFonts w:ascii="Arial" w:hAnsi="Arial" w:cs="Arial" w:hint="default"/>
      <w:color w:val="000000"/>
      <w:sz w:val="22"/>
      <w:szCs w:val="22"/>
      <w:shd w:val="clear" w:color="auto" w:fill="00FFFF"/>
    </w:rPr>
  </w:style>
  <w:style w:type="character" w:customStyle="1" w:styleId="c7ee9e281">
    <w:name w:val="c7ee9e281"/>
    <w:basedOn w:val="DefaultParagraphFont"/>
    <w:rPr>
      <w:rFonts w:ascii="Arial" w:hAnsi="Arial" w:cs="Arial" w:hint="default"/>
      <w:color w:val="000000"/>
      <w:sz w:val="22"/>
      <w:szCs w:val="22"/>
      <w:shd w:val="clear" w:color="auto" w:fill="C0C0C0"/>
    </w:rPr>
  </w:style>
  <w:style w:type="character" w:customStyle="1" w:styleId="c7ee9e301">
    <w:name w:val="c7ee9e301"/>
    <w:basedOn w:val="DefaultParagraphFont"/>
    <w:rPr>
      <w:rFonts w:ascii="Arial" w:hAnsi="Arial" w:cs="Arial" w:hint="default"/>
      <w:color w:val="000000"/>
      <w:sz w:val="16"/>
      <w:szCs w:val="16"/>
      <w:shd w:val="clear" w:color="auto" w:fill="FFFF00"/>
    </w:rPr>
  </w:style>
  <w:style w:type="character" w:customStyle="1" w:styleId="c7ee9e311">
    <w:name w:val="c7ee9e311"/>
    <w:basedOn w:val="DefaultParagraphFont"/>
    <w:rPr>
      <w:rFonts w:ascii="Arial" w:hAnsi="Arial" w:cs="Arial" w:hint="default"/>
      <w:b/>
      <w:bCs/>
      <w:color w:val="000000"/>
      <w:sz w:val="22"/>
      <w:szCs w:val="22"/>
      <w:shd w:val="clear" w:color="auto" w:fill="00FFFF"/>
    </w:rPr>
  </w:style>
  <w:style w:type="character" w:customStyle="1" w:styleId="c2530e411">
    <w:name w:val="c2530e411"/>
    <w:basedOn w:val="DefaultParagraphFont"/>
    <w:rPr>
      <w:rFonts w:ascii="Arial" w:hAnsi="Arial" w:cs="Arial" w:hint="default"/>
      <w:b/>
      <w:bCs/>
      <w:color w:val="000000"/>
      <w:sz w:val="22"/>
      <w:szCs w:val="22"/>
    </w:rPr>
  </w:style>
  <w:style w:type="character" w:customStyle="1" w:styleId="normal9">
    <w:name w:val="normal9"/>
    <w:basedOn w:val="DefaultParagraphFont"/>
    <w:rPr>
      <w:rFonts w:ascii="Arial" w:hAnsi="Arial" w:cs="Arial" w:hint="default"/>
      <w:color w:val="000000"/>
      <w:sz w:val="22"/>
      <w:szCs w:val="22"/>
    </w:rPr>
  </w:style>
  <w:style w:type="character" w:customStyle="1" w:styleId="c2530e401">
    <w:name w:val="c2530e401"/>
    <w:basedOn w:val="DefaultParagraphFont"/>
    <w:rPr>
      <w:rFonts w:ascii="Arial" w:hAnsi="Arial" w:cs="Arial" w:hint="default"/>
      <w:b/>
      <w:bCs/>
      <w:color w:val="000000"/>
      <w:sz w:val="22"/>
      <w:szCs w:val="22"/>
    </w:rPr>
  </w:style>
  <w:style w:type="character" w:customStyle="1" w:styleId="c2530e421">
    <w:name w:val="c2530e421"/>
    <w:basedOn w:val="DefaultParagraphFont"/>
    <w:rPr>
      <w:rFonts w:ascii="Arial" w:hAnsi="Arial" w:cs="Arial" w:hint="default"/>
      <w:color w:val="000000"/>
      <w:sz w:val="22"/>
      <w:szCs w:val="22"/>
      <w:shd w:val="clear" w:color="auto" w:fill="00FFFF"/>
    </w:rPr>
  </w:style>
  <w:style w:type="character" w:customStyle="1" w:styleId="c2530e431">
    <w:name w:val="c2530e431"/>
    <w:basedOn w:val="DefaultParagraphFont"/>
    <w:rPr>
      <w:rFonts w:ascii="Arial" w:hAnsi="Arial" w:cs="Arial" w:hint="default"/>
      <w:b/>
      <w:bCs/>
      <w:color w:val="000000"/>
      <w:sz w:val="22"/>
      <w:szCs w:val="22"/>
      <w:shd w:val="clear" w:color="auto" w:fill="00FFFF"/>
    </w:rPr>
  </w:style>
  <w:style w:type="character" w:customStyle="1" w:styleId="c2530e451">
    <w:name w:val="c2530e451"/>
    <w:basedOn w:val="DefaultParagraphFont"/>
    <w:rPr>
      <w:rFonts w:ascii="Arial" w:hAnsi="Arial" w:cs="Arial" w:hint="default"/>
      <w:color w:val="000000"/>
      <w:sz w:val="16"/>
      <w:szCs w:val="16"/>
      <w:shd w:val="clear" w:color="auto" w:fill="FFFF00"/>
    </w:rPr>
  </w:style>
  <w:style w:type="character" w:customStyle="1" w:styleId="c2530e461">
    <w:name w:val="c2530e461"/>
    <w:basedOn w:val="DefaultParagraphFont"/>
    <w:rPr>
      <w:rFonts w:ascii="Arial" w:hAnsi="Arial" w:cs="Arial" w:hint="default"/>
      <w:color w:val="000000"/>
      <w:sz w:val="22"/>
      <w:szCs w:val="22"/>
      <w:u w:val="single"/>
      <w:shd w:val="clear" w:color="auto" w:fill="00FFFF"/>
    </w:rPr>
  </w:style>
  <w:style w:type="character" w:customStyle="1" w:styleId="c2530e471">
    <w:name w:val="c2530e471"/>
    <w:basedOn w:val="DefaultParagraphFont"/>
    <w:rPr>
      <w:rFonts w:ascii="Arial" w:hAnsi="Arial" w:cs="Arial" w:hint="default"/>
      <w:color w:val="000000"/>
      <w:sz w:val="22"/>
      <w:szCs w:val="22"/>
      <w:shd w:val="clear" w:color="auto" w:fill="FF00FF"/>
    </w:rPr>
  </w:style>
  <w:style w:type="character" w:customStyle="1" w:styleId="c2530e481">
    <w:name w:val="c2530e481"/>
    <w:basedOn w:val="DefaultParagraphFont"/>
    <w:rPr>
      <w:rFonts w:ascii="Arial" w:hAnsi="Arial" w:cs="Arial" w:hint="default"/>
      <w:b/>
      <w:bCs/>
      <w:color w:val="000000"/>
      <w:sz w:val="22"/>
      <w:szCs w:val="22"/>
      <w:shd w:val="clear" w:color="auto" w:fill="FF00FF"/>
    </w:rPr>
  </w:style>
  <w:style w:type="character" w:customStyle="1" w:styleId="c2530e491">
    <w:name w:val="c2530e491"/>
    <w:basedOn w:val="DefaultParagraphFont"/>
    <w:rPr>
      <w:rFonts w:ascii="Arial" w:hAnsi="Arial" w:cs="Arial" w:hint="default"/>
      <w:color w:val="000000"/>
      <w:sz w:val="22"/>
      <w:szCs w:val="22"/>
    </w:rPr>
  </w:style>
  <w:style w:type="character" w:customStyle="1" w:styleId="cb2893481">
    <w:name w:val="cb2893481"/>
    <w:basedOn w:val="DefaultParagraphFont"/>
    <w:rPr>
      <w:rFonts w:ascii="Arial" w:hAnsi="Arial" w:cs="Arial" w:hint="default"/>
      <w:b/>
      <w:bCs/>
      <w:color w:val="000000"/>
      <w:sz w:val="22"/>
      <w:szCs w:val="22"/>
    </w:rPr>
  </w:style>
  <w:style w:type="character" w:customStyle="1" w:styleId="normal11">
    <w:name w:val="normal11"/>
    <w:basedOn w:val="DefaultParagraphFont"/>
    <w:rPr>
      <w:rFonts w:ascii="Arial" w:hAnsi="Arial" w:cs="Arial" w:hint="default"/>
      <w:color w:val="000000"/>
      <w:sz w:val="22"/>
      <w:szCs w:val="22"/>
    </w:rPr>
  </w:style>
  <w:style w:type="character" w:customStyle="1" w:styleId="cb2893471">
    <w:name w:val="cb2893471"/>
    <w:basedOn w:val="DefaultParagraphFont"/>
    <w:rPr>
      <w:rFonts w:ascii="Arial" w:hAnsi="Arial" w:cs="Arial" w:hint="default"/>
      <w:b/>
      <w:bCs/>
      <w:color w:val="000000"/>
      <w:sz w:val="22"/>
      <w:szCs w:val="22"/>
    </w:rPr>
  </w:style>
  <w:style w:type="character" w:customStyle="1" w:styleId="cb2893501">
    <w:name w:val="cb2893501"/>
    <w:basedOn w:val="DefaultParagraphFont"/>
    <w:rPr>
      <w:rFonts w:ascii="Arial" w:hAnsi="Arial" w:cs="Arial" w:hint="default"/>
      <w:color w:val="000000"/>
      <w:sz w:val="22"/>
      <w:szCs w:val="22"/>
      <w:u w:val="single"/>
      <w:shd w:val="clear" w:color="auto" w:fill="00FFFF"/>
    </w:rPr>
  </w:style>
  <w:style w:type="character" w:customStyle="1" w:styleId="cb2893511">
    <w:name w:val="cb2893511"/>
    <w:basedOn w:val="DefaultParagraphFont"/>
    <w:rPr>
      <w:rFonts w:ascii="Arial" w:hAnsi="Arial" w:cs="Arial" w:hint="default"/>
      <w:color w:val="000000"/>
      <w:sz w:val="22"/>
      <w:szCs w:val="22"/>
      <w:shd w:val="clear" w:color="auto" w:fill="00FFFF"/>
    </w:rPr>
  </w:style>
  <w:style w:type="character" w:customStyle="1" w:styleId="cb2893521">
    <w:name w:val="cb2893521"/>
    <w:basedOn w:val="DefaultParagraphFont"/>
    <w:rPr>
      <w:rFonts w:ascii="Arial" w:hAnsi="Arial" w:cs="Arial" w:hint="default"/>
      <w:b/>
      <w:bCs/>
      <w:color w:val="000000"/>
      <w:sz w:val="22"/>
      <w:szCs w:val="22"/>
      <w:shd w:val="clear" w:color="auto" w:fill="00FFFF"/>
    </w:rPr>
  </w:style>
  <w:style w:type="character" w:customStyle="1" w:styleId="c7a789591">
    <w:name w:val="c7a789591"/>
    <w:basedOn w:val="DefaultParagraphFont"/>
    <w:rPr>
      <w:rFonts w:ascii="Arial" w:hAnsi="Arial" w:cs="Arial" w:hint="default"/>
      <w:b/>
      <w:bCs/>
      <w:color w:val="000000"/>
      <w:sz w:val="22"/>
      <w:szCs w:val="22"/>
    </w:rPr>
  </w:style>
  <w:style w:type="character" w:customStyle="1" w:styleId="normal13">
    <w:name w:val="normal13"/>
    <w:basedOn w:val="DefaultParagraphFont"/>
    <w:rPr>
      <w:rFonts w:ascii="Arial" w:hAnsi="Arial" w:cs="Arial" w:hint="default"/>
      <w:color w:val="000000"/>
      <w:sz w:val="22"/>
      <w:szCs w:val="22"/>
    </w:rPr>
  </w:style>
  <w:style w:type="character" w:customStyle="1" w:styleId="c7a789581">
    <w:name w:val="c7a789581"/>
    <w:basedOn w:val="DefaultParagraphFont"/>
    <w:rPr>
      <w:rFonts w:ascii="Arial" w:hAnsi="Arial" w:cs="Arial" w:hint="default"/>
      <w:b/>
      <w:bCs/>
      <w:color w:val="000000"/>
      <w:sz w:val="22"/>
      <w:szCs w:val="22"/>
    </w:rPr>
  </w:style>
  <w:style w:type="character" w:customStyle="1" w:styleId="c7a789601">
    <w:name w:val="c7a789601"/>
    <w:basedOn w:val="DefaultParagraphFont"/>
    <w:rPr>
      <w:rFonts w:ascii="Arial" w:hAnsi="Arial" w:cs="Arial" w:hint="default"/>
      <w:color w:val="000000"/>
      <w:sz w:val="22"/>
      <w:szCs w:val="22"/>
      <w:shd w:val="clear" w:color="auto" w:fill="00FFFF"/>
    </w:rPr>
  </w:style>
  <w:style w:type="character" w:customStyle="1" w:styleId="c7a789611">
    <w:name w:val="c7a789611"/>
    <w:basedOn w:val="DefaultParagraphFont"/>
    <w:rPr>
      <w:rFonts w:ascii="Arial" w:hAnsi="Arial" w:cs="Arial" w:hint="default"/>
      <w:b/>
      <w:bCs/>
      <w:color w:val="000000"/>
      <w:sz w:val="22"/>
      <w:szCs w:val="22"/>
      <w:shd w:val="clear" w:color="auto" w:fill="00FFFF"/>
    </w:rPr>
  </w:style>
  <w:style w:type="character" w:customStyle="1" w:styleId="c7a789631">
    <w:name w:val="c7a789631"/>
    <w:basedOn w:val="DefaultParagraphFont"/>
    <w:rPr>
      <w:rFonts w:ascii="Arial" w:hAnsi="Arial" w:cs="Arial" w:hint="default"/>
      <w:color w:val="000000"/>
      <w:sz w:val="16"/>
      <w:szCs w:val="16"/>
      <w:shd w:val="clear" w:color="auto" w:fill="FFFF00"/>
    </w:rPr>
  </w:style>
  <w:style w:type="character" w:customStyle="1" w:styleId="c7a789641">
    <w:name w:val="c7a789641"/>
    <w:basedOn w:val="DefaultParagraphFont"/>
    <w:rPr>
      <w:rFonts w:ascii="Arial" w:hAnsi="Arial" w:cs="Arial" w:hint="default"/>
      <w:color w:val="000000"/>
      <w:sz w:val="22"/>
      <w:szCs w:val="22"/>
      <w:shd w:val="clear" w:color="auto" w:fill="C0C0C0"/>
    </w:rPr>
  </w:style>
  <w:style w:type="character" w:customStyle="1" w:styleId="c7a789651">
    <w:name w:val="c7a789651"/>
    <w:basedOn w:val="DefaultParagraphFont"/>
    <w:rPr>
      <w:rFonts w:ascii="Arial" w:hAnsi="Arial" w:cs="Arial" w:hint="default"/>
      <w:color w:val="000000"/>
      <w:sz w:val="22"/>
      <w:szCs w:val="22"/>
      <w:u w:val="single"/>
      <w:shd w:val="clear" w:color="auto" w:fill="00FFFF"/>
    </w:rPr>
  </w:style>
  <w:style w:type="character" w:customStyle="1" w:styleId="cb1351681">
    <w:name w:val="cb1351681"/>
    <w:basedOn w:val="DefaultParagraphFont"/>
    <w:rPr>
      <w:rFonts w:ascii="Arial" w:hAnsi="Arial" w:cs="Arial" w:hint="default"/>
      <w:b/>
      <w:bCs/>
      <w:color w:val="000000"/>
      <w:sz w:val="22"/>
      <w:szCs w:val="22"/>
    </w:rPr>
  </w:style>
  <w:style w:type="character" w:customStyle="1" w:styleId="normal15">
    <w:name w:val="normal15"/>
    <w:basedOn w:val="DefaultParagraphFont"/>
    <w:rPr>
      <w:rFonts w:ascii="Arial" w:hAnsi="Arial" w:cs="Arial" w:hint="default"/>
      <w:color w:val="000000"/>
      <w:sz w:val="22"/>
      <w:szCs w:val="22"/>
    </w:rPr>
  </w:style>
  <w:style w:type="character" w:customStyle="1" w:styleId="cb1351671">
    <w:name w:val="cb1351671"/>
    <w:basedOn w:val="DefaultParagraphFont"/>
    <w:rPr>
      <w:rFonts w:ascii="Arial" w:hAnsi="Arial" w:cs="Arial" w:hint="default"/>
      <w:b/>
      <w:bCs/>
      <w:color w:val="000000"/>
      <w:sz w:val="22"/>
      <w:szCs w:val="22"/>
    </w:rPr>
  </w:style>
  <w:style w:type="character" w:customStyle="1" w:styleId="cb1351691">
    <w:name w:val="cb1351691"/>
    <w:basedOn w:val="DefaultParagraphFont"/>
    <w:rPr>
      <w:rFonts w:ascii="Arial" w:hAnsi="Arial" w:cs="Arial" w:hint="default"/>
      <w:color w:val="000000"/>
      <w:sz w:val="22"/>
      <w:szCs w:val="22"/>
      <w:shd w:val="clear" w:color="auto" w:fill="C0C0C0"/>
    </w:rPr>
  </w:style>
  <w:style w:type="character" w:customStyle="1" w:styleId="cb1351711">
    <w:name w:val="cb1351711"/>
    <w:basedOn w:val="DefaultParagraphFont"/>
    <w:rPr>
      <w:rFonts w:ascii="Arial" w:hAnsi="Arial" w:cs="Arial" w:hint="default"/>
      <w:color w:val="000000"/>
      <w:sz w:val="16"/>
      <w:szCs w:val="16"/>
      <w:shd w:val="clear" w:color="auto" w:fill="FFFF00"/>
    </w:rPr>
  </w:style>
  <w:style w:type="character" w:customStyle="1" w:styleId="cb1351721">
    <w:name w:val="cb1351721"/>
    <w:basedOn w:val="DefaultParagraphFont"/>
    <w:rPr>
      <w:rFonts w:ascii="Arial" w:hAnsi="Arial" w:cs="Arial" w:hint="default"/>
      <w:color w:val="000000"/>
      <w:sz w:val="22"/>
      <w:szCs w:val="22"/>
      <w:shd w:val="clear" w:color="auto" w:fill="00FFFF"/>
    </w:rPr>
  </w:style>
  <w:style w:type="character" w:customStyle="1" w:styleId="cb1351731">
    <w:name w:val="cb1351731"/>
    <w:basedOn w:val="DefaultParagraphFont"/>
    <w:rPr>
      <w:rFonts w:ascii="Arial" w:hAnsi="Arial" w:cs="Arial" w:hint="default"/>
      <w:b/>
      <w:bCs/>
      <w:color w:val="000000"/>
      <w:sz w:val="22"/>
      <w:szCs w:val="22"/>
      <w:shd w:val="clear" w:color="auto" w:fill="00FFFF"/>
    </w:rPr>
  </w:style>
  <w:style w:type="character" w:customStyle="1" w:styleId="c293a4791">
    <w:name w:val="c293a4791"/>
    <w:basedOn w:val="DefaultParagraphFont"/>
    <w:rPr>
      <w:rFonts w:ascii="Arial" w:hAnsi="Arial" w:cs="Arial" w:hint="default"/>
      <w:b/>
      <w:bCs/>
      <w:color w:val="000000"/>
      <w:sz w:val="22"/>
      <w:szCs w:val="22"/>
    </w:rPr>
  </w:style>
  <w:style w:type="character" w:customStyle="1" w:styleId="normal17">
    <w:name w:val="normal17"/>
    <w:basedOn w:val="DefaultParagraphFont"/>
    <w:rPr>
      <w:rFonts w:ascii="Arial" w:hAnsi="Arial" w:cs="Arial" w:hint="default"/>
      <w:color w:val="000000"/>
      <w:sz w:val="22"/>
      <w:szCs w:val="22"/>
    </w:rPr>
  </w:style>
  <w:style w:type="character" w:customStyle="1" w:styleId="c293a4781">
    <w:name w:val="c293a4781"/>
    <w:basedOn w:val="DefaultParagraphFont"/>
    <w:rPr>
      <w:rFonts w:ascii="Arial" w:hAnsi="Arial" w:cs="Arial" w:hint="default"/>
      <w:b/>
      <w:bCs/>
      <w:color w:val="000000"/>
      <w:sz w:val="22"/>
      <w:szCs w:val="22"/>
    </w:rPr>
  </w:style>
  <w:style w:type="character" w:customStyle="1" w:styleId="c293a4801">
    <w:name w:val="c293a4801"/>
    <w:basedOn w:val="DefaultParagraphFont"/>
    <w:rPr>
      <w:rFonts w:ascii="Arial" w:hAnsi="Arial" w:cs="Arial" w:hint="default"/>
      <w:color w:val="000000"/>
      <w:sz w:val="22"/>
      <w:szCs w:val="22"/>
      <w:shd w:val="clear" w:color="auto" w:fill="00FFFF"/>
    </w:rPr>
  </w:style>
  <w:style w:type="character" w:customStyle="1" w:styleId="c293a4811">
    <w:name w:val="c293a4811"/>
    <w:basedOn w:val="DefaultParagraphFont"/>
    <w:rPr>
      <w:rFonts w:ascii="Arial" w:hAnsi="Arial" w:cs="Arial" w:hint="default"/>
      <w:b/>
      <w:bCs/>
      <w:color w:val="000000"/>
      <w:sz w:val="22"/>
      <w:szCs w:val="22"/>
      <w:shd w:val="clear" w:color="auto" w:fill="00FFFF"/>
    </w:rPr>
  </w:style>
  <w:style w:type="character" w:customStyle="1" w:styleId="c293a4831">
    <w:name w:val="c293a4831"/>
    <w:basedOn w:val="DefaultParagraphFont"/>
    <w:rPr>
      <w:rFonts w:ascii="Arial" w:hAnsi="Arial" w:cs="Arial" w:hint="default"/>
      <w:color w:val="000000"/>
      <w:sz w:val="22"/>
      <w:szCs w:val="22"/>
      <w:u w:val="single"/>
      <w:shd w:val="clear" w:color="auto" w:fill="00FFFF"/>
    </w:rPr>
  </w:style>
  <w:style w:type="character" w:customStyle="1" w:styleId="c293a4841">
    <w:name w:val="c293a4841"/>
    <w:basedOn w:val="DefaultParagraphFont"/>
    <w:rPr>
      <w:rFonts w:ascii="Arial" w:hAnsi="Arial" w:cs="Arial" w:hint="default"/>
      <w:color w:val="000000"/>
      <w:sz w:val="22"/>
      <w:szCs w:val="22"/>
      <w:shd w:val="clear" w:color="auto" w:fill="C0C0C0"/>
    </w:rPr>
  </w:style>
  <w:style w:type="character" w:customStyle="1" w:styleId="c293a4861">
    <w:name w:val="c293a4861"/>
    <w:basedOn w:val="DefaultParagraphFont"/>
    <w:rPr>
      <w:rFonts w:ascii="Arial" w:hAnsi="Arial" w:cs="Arial" w:hint="default"/>
      <w:color w:val="000000"/>
      <w:sz w:val="16"/>
      <w:szCs w:val="16"/>
      <w:shd w:val="clear" w:color="auto" w:fill="FFFF00"/>
    </w:rPr>
  </w:style>
  <w:style w:type="character" w:customStyle="1" w:styleId="cf666d801">
    <w:name w:val="cf666d801"/>
    <w:basedOn w:val="DefaultParagraphFont"/>
    <w:rPr>
      <w:rFonts w:ascii="Arial" w:hAnsi="Arial" w:cs="Arial" w:hint="default"/>
      <w:b/>
      <w:bCs/>
      <w:color w:val="000000"/>
      <w:sz w:val="22"/>
      <w:szCs w:val="22"/>
      <w:shd w:val="clear" w:color="auto" w:fill="00FFFF"/>
    </w:rPr>
  </w:style>
  <w:style w:type="character" w:customStyle="1" w:styleId="normal19">
    <w:name w:val="normal19"/>
    <w:basedOn w:val="DefaultParagraphFont"/>
    <w:rPr>
      <w:rFonts w:ascii="Arial" w:hAnsi="Arial" w:cs="Arial" w:hint="default"/>
      <w:color w:val="000000"/>
      <w:sz w:val="22"/>
      <w:szCs w:val="22"/>
    </w:rPr>
  </w:style>
  <w:style w:type="character" w:customStyle="1" w:styleId="cf666d781">
    <w:name w:val="cf666d781"/>
    <w:basedOn w:val="DefaultParagraphFont"/>
    <w:rPr>
      <w:rFonts w:ascii="Arial" w:hAnsi="Arial" w:cs="Arial" w:hint="default"/>
      <w:b/>
      <w:bCs/>
      <w:color w:val="000000"/>
      <w:sz w:val="22"/>
      <w:szCs w:val="22"/>
    </w:rPr>
  </w:style>
  <w:style w:type="character" w:customStyle="1" w:styleId="cf666d811">
    <w:name w:val="cf666d811"/>
    <w:basedOn w:val="DefaultParagraphFont"/>
    <w:rPr>
      <w:rFonts w:ascii="Arial" w:hAnsi="Arial" w:cs="Arial" w:hint="default"/>
      <w:color w:val="000000"/>
      <w:sz w:val="22"/>
      <w:szCs w:val="22"/>
      <w:shd w:val="clear" w:color="auto" w:fill="C0C0C0"/>
    </w:rPr>
  </w:style>
  <w:style w:type="character" w:customStyle="1" w:styleId="cf666d831">
    <w:name w:val="cf666d831"/>
    <w:basedOn w:val="DefaultParagraphFont"/>
    <w:rPr>
      <w:rFonts w:ascii="Arial" w:hAnsi="Arial" w:cs="Arial" w:hint="default"/>
      <w:color w:val="000000"/>
      <w:sz w:val="16"/>
      <w:szCs w:val="16"/>
      <w:shd w:val="clear" w:color="auto" w:fill="FFFF00"/>
    </w:rPr>
  </w:style>
  <w:style w:type="character" w:customStyle="1" w:styleId="cf666d841">
    <w:name w:val="cf666d841"/>
    <w:basedOn w:val="DefaultParagraphFont"/>
    <w:rPr>
      <w:rFonts w:ascii="Arial" w:hAnsi="Arial" w:cs="Arial" w:hint="default"/>
      <w:color w:val="000000"/>
      <w:sz w:val="22"/>
      <w:szCs w:val="22"/>
      <w:shd w:val="clear" w:color="auto" w:fill="00FFFF"/>
    </w:rPr>
  </w:style>
  <w:style w:type="character" w:customStyle="1" w:styleId="cf666d851">
    <w:name w:val="cf666d851"/>
    <w:basedOn w:val="DefaultParagraphFont"/>
    <w:rPr>
      <w:rFonts w:ascii="Arial" w:hAnsi="Arial" w:cs="Arial" w:hint="default"/>
      <w:b/>
      <w:bCs/>
      <w:color w:val="000000"/>
      <w:sz w:val="22"/>
      <w:szCs w:val="22"/>
      <w:shd w:val="clear" w:color="auto" w:fill="00FFFF"/>
    </w:rPr>
  </w:style>
  <w:style w:type="character" w:customStyle="1" w:styleId="c5c9461021">
    <w:name w:val="c5c9461021"/>
    <w:basedOn w:val="DefaultParagraphFont"/>
    <w:rPr>
      <w:rFonts w:ascii="Arial" w:hAnsi="Arial" w:cs="Arial" w:hint="default"/>
      <w:b/>
      <w:bCs/>
      <w:color w:val="000000"/>
      <w:sz w:val="22"/>
      <w:szCs w:val="22"/>
    </w:rPr>
  </w:style>
  <w:style w:type="character" w:customStyle="1" w:styleId="normal20">
    <w:name w:val="normal20"/>
    <w:basedOn w:val="DefaultParagraphFont"/>
    <w:rPr>
      <w:rFonts w:ascii="Arial" w:hAnsi="Arial" w:cs="Arial" w:hint="default"/>
      <w:color w:val="000000"/>
      <w:sz w:val="22"/>
      <w:szCs w:val="22"/>
    </w:rPr>
  </w:style>
  <w:style w:type="character" w:customStyle="1" w:styleId="c5c9461011">
    <w:name w:val="c5c9461011"/>
    <w:basedOn w:val="DefaultParagraphFont"/>
    <w:rPr>
      <w:rFonts w:ascii="Arial" w:hAnsi="Arial" w:cs="Arial" w:hint="default"/>
      <w:b/>
      <w:bCs/>
      <w:color w:val="000000"/>
      <w:sz w:val="22"/>
      <w:szCs w:val="22"/>
    </w:rPr>
  </w:style>
  <w:style w:type="character" w:customStyle="1" w:styleId="c5c9461031">
    <w:name w:val="c5c9461031"/>
    <w:basedOn w:val="DefaultParagraphFont"/>
    <w:rPr>
      <w:rFonts w:ascii="Arial" w:hAnsi="Arial" w:cs="Arial" w:hint="default"/>
      <w:color w:val="000000"/>
      <w:sz w:val="22"/>
      <w:szCs w:val="22"/>
      <w:shd w:val="clear" w:color="auto" w:fill="00FFFF"/>
    </w:rPr>
  </w:style>
  <w:style w:type="character" w:customStyle="1" w:styleId="c5c9461041">
    <w:name w:val="c5c9461041"/>
    <w:basedOn w:val="DefaultParagraphFont"/>
    <w:rPr>
      <w:rFonts w:ascii="Arial" w:hAnsi="Arial" w:cs="Arial" w:hint="default"/>
      <w:color w:val="000000"/>
      <w:sz w:val="22"/>
      <w:szCs w:val="22"/>
      <w:u w:val="single"/>
      <w:shd w:val="clear" w:color="auto" w:fill="00FFFF"/>
    </w:rPr>
  </w:style>
  <w:style w:type="character" w:customStyle="1" w:styleId="c5c9461061">
    <w:name w:val="c5c9461061"/>
    <w:basedOn w:val="DefaultParagraphFont"/>
    <w:rPr>
      <w:rFonts w:ascii="Arial" w:hAnsi="Arial" w:cs="Arial" w:hint="default"/>
      <w:color w:val="000000"/>
      <w:sz w:val="22"/>
      <w:szCs w:val="22"/>
      <w:shd w:val="clear" w:color="auto" w:fill="C0C0C0"/>
    </w:rPr>
  </w:style>
  <w:style w:type="character" w:customStyle="1" w:styleId="c5c9461081">
    <w:name w:val="c5c9461081"/>
    <w:basedOn w:val="DefaultParagraphFont"/>
    <w:rPr>
      <w:rFonts w:ascii="Arial" w:hAnsi="Arial" w:cs="Arial" w:hint="default"/>
      <w:color w:val="000000"/>
      <w:sz w:val="16"/>
      <w:szCs w:val="16"/>
      <w:shd w:val="clear" w:color="auto" w:fill="FFFF00"/>
    </w:rPr>
  </w:style>
  <w:style w:type="character" w:customStyle="1" w:styleId="cdb1da1131">
    <w:name w:val="cdb1da1131"/>
    <w:basedOn w:val="DefaultParagraphFont"/>
    <w:rPr>
      <w:rFonts w:ascii="Arial" w:hAnsi="Arial" w:cs="Arial" w:hint="default"/>
      <w:b/>
      <w:bCs/>
      <w:color w:val="000000"/>
      <w:sz w:val="22"/>
      <w:szCs w:val="22"/>
      <w:shd w:val="clear" w:color="auto" w:fill="00FFFF"/>
    </w:rPr>
  </w:style>
  <w:style w:type="character" w:customStyle="1" w:styleId="normal22">
    <w:name w:val="normal22"/>
    <w:basedOn w:val="DefaultParagraphFont"/>
    <w:rPr>
      <w:rFonts w:ascii="Arial" w:hAnsi="Arial" w:cs="Arial" w:hint="default"/>
      <w:color w:val="000000"/>
      <w:sz w:val="22"/>
      <w:szCs w:val="22"/>
    </w:rPr>
  </w:style>
  <w:style w:type="character" w:customStyle="1" w:styleId="cdb1da1151">
    <w:name w:val="cdb1da1151"/>
    <w:basedOn w:val="DefaultParagraphFont"/>
    <w:rPr>
      <w:rFonts w:ascii="Arial" w:hAnsi="Arial" w:cs="Arial" w:hint="default"/>
      <w:color w:val="000000"/>
      <w:sz w:val="16"/>
      <w:szCs w:val="16"/>
      <w:shd w:val="clear" w:color="auto" w:fill="FFFF00"/>
    </w:rPr>
  </w:style>
  <w:style w:type="character" w:customStyle="1" w:styleId="cdb1da1111">
    <w:name w:val="cdb1da1111"/>
    <w:basedOn w:val="DefaultParagraphFont"/>
    <w:rPr>
      <w:rFonts w:ascii="Arial" w:hAnsi="Arial" w:cs="Arial" w:hint="default"/>
      <w:b/>
      <w:bCs/>
      <w:color w:val="000000"/>
      <w:sz w:val="22"/>
      <w:szCs w:val="22"/>
    </w:rPr>
  </w:style>
  <w:style w:type="character" w:customStyle="1" w:styleId="cdb1da1161">
    <w:name w:val="cdb1da1161"/>
    <w:basedOn w:val="DefaultParagraphFont"/>
    <w:rPr>
      <w:rFonts w:ascii="Arial" w:hAnsi="Arial" w:cs="Arial" w:hint="default"/>
      <w:color w:val="000000"/>
      <w:sz w:val="22"/>
      <w:szCs w:val="22"/>
      <w:shd w:val="clear" w:color="auto" w:fill="C0C0C0"/>
    </w:rPr>
  </w:style>
  <w:style w:type="character" w:customStyle="1" w:styleId="cdb1da1191">
    <w:name w:val="cdb1da1191"/>
    <w:basedOn w:val="DefaultParagraphFont"/>
    <w:rPr>
      <w:rFonts w:ascii="Arial" w:hAnsi="Arial" w:cs="Arial" w:hint="default"/>
      <w:color w:val="000000"/>
      <w:sz w:val="22"/>
      <w:szCs w:val="22"/>
      <w:u w:val="single"/>
      <w:shd w:val="clear" w:color="auto" w:fill="00FFFF"/>
    </w:rPr>
  </w:style>
  <w:style w:type="character" w:customStyle="1" w:styleId="c63c4d1121">
    <w:name w:val="c63c4d1121"/>
    <w:basedOn w:val="DefaultParagraphFont"/>
    <w:rPr>
      <w:rFonts w:ascii="Arial" w:hAnsi="Arial" w:cs="Arial" w:hint="default"/>
      <w:b/>
      <w:bCs/>
      <w:color w:val="000000"/>
      <w:sz w:val="22"/>
      <w:szCs w:val="22"/>
    </w:rPr>
  </w:style>
  <w:style w:type="character" w:customStyle="1" w:styleId="normal24">
    <w:name w:val="normal24"/>
    <w:basedOn w:val="DefaultParagraphFont"/>
    <w:rPr>
      <w:rFonts w:ascii="Arial" w:hAnsi="Arial" w:cs="Arial" w:hint="default"/>
      <w:color w:val="000000"/>
      <w:sz w:val="22"/>
      <w:szCs w:val="22"/>
    </w:rPr>
  </w:style>
  <w:style w:type="character" w:customStyle="1" w:styleId="c63c4d1111">
    <w:name w:val="c63c4d1111"/>
    <w:basedOn w:val="DefaultParagraphFont"/>
    <w:rPr>
      <w:rFonts w:ascii="Arial" w:hAnsi="Arial" w:cs="Arial" w:hint="default"/>
      <w:b/>
      <w:bCs/>
      <w:color w:val="000000"/>
      <w:sz w:val="22"/>
      <w:szCs w:val="22"/>
    </w:rPr>
  </w:style>
  <w:style w:type="character" w:customStyle="1" w:styleId="c63c4d1131">
    <w:name w:val="c63c4d1131"/>
    <w:basedOn w:val="DefaultParagraphFont"/>
    <w:rPr>
      <w:rFonts w:ascii="Arial" w:hAnsi="Arial" w:cs="Arial" w:hint="default"/>
      <w:b/>
      <w:bCs/>
      <w:color w:val="000000"/>
      <w:sz w:val="22"/>
      <w:szCs w:val="22"/>
      <w:shd w:val="clear" w:color="auto" w:fill="00FFFF"/>
    </w:rPr>
  </w:style>
  <w:style w:type="character" w:customStyle="1" w:styleId="c63c4d1161">
    <w:name w:val="c63c4d1161"/>
    <w:basedOn w:val="DefaultParagraphFont"/>
    <w:rPr>
      <w:rFonts w:ascii="Arial" w:hAnsi="Arial" w:cs="Arial" w:hint="default"/>
      <w:color w:val="000000"/>
      <w:sz w:val="16"/>
      <w:szCs w:val="16"/>
      <w:shd w:val="clear" w:color="auto" w:fill="FFFF00"/>
    </w:rPr>
  </w:style>
  <w:style w:type="character" w:customStyle="1" w:styleId="cc9c571181">
    <w:name w:val="cc9c571181"/>
    <w:basedOn w:val="DefaultParagraphFont"/>
    <w:rPr>
      <w:rFonts w:ascii="Arial" w:hAnsi="Arial" w:cs="Arial" w:hint="default"/>
      <w:b/>
      <w:bCs/>
      <w:color w:val="000000"/>
      <w:sz w:val="22"/>
      <w:szCs w:val="22"/>
    </w:rPr>
  </w:style>
  <w:style w:type="character" w:customStyle="1" w:styleId="normal25">
    <w:name w:val="normal25"/>
    <w:basedOn w:val="DefaultParagraphFont"/>
    <w:rPr>
      <w:rFonts w:ascii="Arial" w:hAnsi="Arial" w:cs="Arial" w:hint="default"/>
      <w:color w:val="000000"/>
      <w:sz w:val="22"/>
      <w:szCs w:val="22"/>
    </w:rPr>
  </w:style>
  <w:style w:type="character" w:customStyle="1" w:styleId="cc9c571171">
    <w:name w:val="cc9c571171"/>
    <w:basedOn w:val="DefaultParagraphFont"/>
    <w:rPr>
      <w:rFonts w:ascii="Arial" w:hAnsi="Arial" w:cs="Arial" w:hint="default"/>
      <w:b/>
      <w:bCs/>
      <w:color w:val="000000"/>
      <w:sz w:val="22"/>
      <w:szCs w:val="22"/>
    </w:rPr>
  </w:style>
  <w:style w:type="character" w:customStyle="1" w:styleId="cc9c571191">
    <w:name w:val="cc9c571191"/>
    <w:basedOn w:val="DefaultParagraphFont"/>
    <w:rPr>
      <w:rFonts w:ascii="Arial" w:hAnsi="Arial" w:cs="Arial" w:hint="default"/>
      <w:color w:val="000000"/>
      <w:sz w:val="22"/>
      <w:szCs w:val="22"/>
      <w:shd w:val="clear" w:color="auto" w:fill="C0C0C0"/>
    </w:rPr>
  </w:style>
  <w:style w:type="character" w:customStyle="1" w:styleId="c5530a1211">
    <w:name w:val="c5530a1211"/>
    <w:basedOn w:val="DefaultParagraphFont"/>
    <w:rPr>
      <w:rFonts w:ascii="Arial" w:hAnsi="Arial" w:cs="Arial" w:hint="default"/>
      <w:b/>
      <w:bCs/>
      <w:color w:val="000000"/>
      <w:sz w:val="22"/>
      <w:szCs w:val="22"/>
    </w:rPr>
  </w:style>
  <w:style w:type="character" w:customStyle="1" w:styleId="c5530a1221">
    <w:name w:val="c5530a1221"/>
    <w:basedOn w:val="DefaultParagraphFont"/>
    <w:rPr>
      <w:rFonts w:ascii="Arial" w:hAnsi="Arial" w:cs="Arial" w:hint="default"/>
      <w:b/>
      <w:bCs/>
      <w:color w:val="000000"/>
      <w:sz w:val="22"/>
      <w:szCs w:val="22"/>
      <w:shd w:val="clear" w:color="auto" w:fill="00FFFF"/>
    </w:rPr>
  </w:style>
  <w:style w:type="character" w:customStyle="1" w:styleId="normal26">
    <w:name w:val="normal26"/>
    <w:basedOn w:val="DefaultParagraphFont"/>
    <w:rPr>
      <w:rFonts w:ascii="Arial" w:hAnsi="Arial" w:cs="Arial" w:hint="default"/>
      <w:color w:val="000000"/>
      <w:sz w:val="22"/>
      <w:szCs w:val="22"/>
    </w:rPr>
  </w:style>
  <w:style w:type="character" w:customStyle="1" w:styleId="c5530a1241">
    <w:name w:val="c5530a1241"/>
    <w:basedOn w:val="DefaultParagraphFont"/>
    <w:rPr>
      <w:rFonts w:ascii="Arial" w:hAnsi="Arial" w:cs="Arial" w:hint="default"/>
      <w:color w:val="000000"/>
      <w:sz w:val="16"/>
      <w:szCs w:val="16"/>
      <w:shd w:val="clear" w:color="auto" w:fill="FFFF00"/>
    </w:rPr>
  </w:style>
  <w:style w:type="character" w:customStyle="1" w:styleId="c5530a1261">
    <w:name w:val="c5530a1261"/>
    <w:basedOn w:val="DefaultParagraphFont"/>
    <w:rPr>
      <w:rFonts w:ascii="Arial" w:hAnsi="Arial" w:cs="Arial" w:hint="default"/>
      <w:b/>
      <w:bCs/>
      <w:color w:val="000000"/>
      <w:sz w:val="16"/>
      <w:szCs w:val="16"/>
      <w:shd w:val="clear" w:color="auto" w:fill="FFFF00"/>
    </w:rPr>
  </w:style>
  <w:style w:type="character" w:customStyle="1" w:styleId="c5530a1201">
    <w:name w:val="c5530a1201"/>
    <w:basedOn w:val="DefaultParagraphFont"/>
    <w:rPr>
      <w:rFonts w:ascii="Arial" w:hAnsi="Arial" w:cs="Arial" w:hint="default"/>
      <w:b/>
      <w:bCs/>
      <w:color w:val="000000"/>
      <w:sz w:val="22"/>
      <w:szCs w:val="22"/>
    </w:rPr>
  </w:style>
  <w:style w:type="character" w:customStyle="1" w:styleId="cac7d31281">
    <w:name w:val="cac7d31281"/>
    <w:basedOn w:val="DefaultParagraphFont"/>
    <w:rPr>
      <w:rFonts w:ascii="Arial" w:hAnsi="Arial" w:cs="Arial" w:hint="default"/>
      <w:b/>
      <w:bCs/>
      <w:color w:val="000000"/>
      <w:sz w:val="22"/>
      <w:szCs w:val="22"/>
    </w:rPr>
  </w:style>
  <w:style w:type="character" w:customStyle="1" w:styleId="normal27">
    <w:name w:val="normal27"/>
    <w:basedOn w:val="DefaultParagraphFont"/>
    <w:rPr>
      <w:rFonts w:ascii="Arial" w:hAnsi="Arial" w:cs="Arial" w:hint="default"/>
      <w:color w:val="000000"/>
      <w:sz w:val="22"/>
      <w:szCs w:val="22"/>
    </w:rPr>
  </w:style>
  <w:style w:type="character" w:customStyle="1" w:styleId="cac7d31271">
    <w:name w:val="cac7d31271"/>
    <w:basedOn w:val="DefaultParagraphFont"/>
    <w:rPr>
      <w:rFonts w:ascii="Arial" w:hAnsi="Arial" w:cs="Arial" w:hint="default"/>
      <w:b/>
      <w:bCs/>
      <w:color w:val="000000"/>
      <w:sz w:val="22"/>
      <w:szCs w:val="22"/>
    </w:rPr>
  </w:style>
  <w:style w:type="character" w:customStyle="1" w:styleId="cac7d31291">
    <w:name w:val="cac7d31291"/>
    <w:basedOn w:val="DefaultParagraphFont"/>
    <w:rPr>
      <w:rFonts w:ascii="Arial" w:hAnsi="Arial" w:cs="Arial" w:hint="default"/>
      <w:color w:val="000000"/>
      <w:sz w:val="22"/>
      <w:szCs w:val="22"/>
      <w:shd w:val="clear" w:color="auto" w:fill="C0C0C0"/>
    </w:rPr>
  </w:style>
  <w:style w:type="character" w:customStyle="1" w:styleId="c82c9b1361">
    <w:name w:val="c82c9b1361"/>
    <w:basedOn w:val="DefaultParagraphFont"/>
    <w:rPr>
      <w:rFonts w:ascii="Arial" w:hAnsi="Arial" w:cs="Arial" w:hint="default"/>
      <w:b/>
      <w:bCs/>
      <w:color w:val="000000"/>
      <w:sz w:val="22"/>
      <w:szCs w:val="22"/>
      <w:shd w:val="clear" w:color="auto" w:fill="00FFFF"/>
    </w:rPr>
  </w:style>
  <w:style w:type="character" w:customStyle="1" w:styleId="normal28">
    <w:name w:val="normal28"/>
    <w:basedOn w:val="DefaultParagraphFont"/>
    <w:rPr>
      <w:rFonts w:ascii="Arial" w:hAnsi="Arial" w:cs="Arial" w:hint="default"/>
      <w:color w:val="000000"/>
      <w:sz w:val="22"/>
      <w:szCs w:val="22"/>
    </w:rPr>
  </w:style>
  <w:style w:type="character" w:customStyle="1" w:styleId="c82c9b1321">
    <w:name w:val="c82c9b1321"/>
    <w:basedOn w:val="DefaultParagraphFont"/>
    <w:rPr>
      <w:rFonts w:ascii="Arial" w:hAnsi="Arial" w:cs="Arial" w:hint="default"/>
      <w:color w:val="000000"/>
      <w:sz w:val="22"/>
      <w:szCs w:val="22"/>
      <w:shd w:val="clear" w:color="auto" w:fill="C0C0C0"/>
    </w:rPr>
  </w:style>
  <w:style w:type="character" w:customStyle="1" w:styleId="c82c9b1341">
    <w:name w:val="c82c9b1341"/>
    <w:basedOn w:val="DefaultParagraphFont"/>
    <w:rPr>
      <w:rFonts w:ascii="Arial" w:hAnsi="Arial" w:cs="Arial" w:hint="default"/>
      <w:color w:val="000000"/>
      <w:sz w:val="16"/>
      <w:szCs w:val="16"/>
      <w:shd w:val="clear" w:color="auto" w:fill="FFFF00"/>
    </w:rPr>
  </w:style>
  <w:style w:type="character" w:customStyle="1" w:styleId="cc4461401">
    <w:name w:val="cc446140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normal4">
    <w:name w:val="normal4"/>
    <w:basedOn w:val="DefaultParagraphFont"/>
    <w:rPr>
      <w:rFonts w:ascii="Arial" w:hAnsi="Arial" w:cs="Arial" w:hint="default"/>
      <w:color w:val="000000"/>
      <w:sz w:val="22"/>
      <w:szCs w:val="22"/>
    </w:rPr>
  </w:style>
  <w:style w:type="character" w:customStyle="1" w:styleId="caf4e791">
    <w:name w:val="caf4e791"/>
    <w:basedOn w:val="DefaultParagraphFont"/>
    <w:rPr>
      <w:rFonts w:ascii="Arial" w:hAnsi="Arial" w:cs="Arial" w:hint="default"/>
      <w:b/>
      <w:bCs/>
      <w:color w:val="000000"/>
      <w:sz w:val="22"/>
      <w:szCs w:val="22"/>
    </w:rPr>
  </w:style>
  <w:style w:type="character" w:customStyle="1" w:styleId="normal6">
    <w:name w:val="normal6"/>
    <w:basedOn w:val="DefaultParagraphFont"/>
    <w:rPr>
      <w:rFonts w:ascii="Arial" w:hAnsi="Arial" w:cs="Arial" w:hint="default"/>
      <w:color w:val="000000"/>
      <w:sz w:val="22"/>
      <w:szCs w:val="22"/>
    </w:rPr>
  </w:style>
  <w:style w:type="character" w:customStyle="1" w:styleId="ceb3fa641">
    <w:name w:val="ceb3fa641"/>
    <w:basedOn w:val="DefaultParagraphFont"/>
    <w:rPr>
      <w:rFonts w:ascii="Arial" w:hAnsi="Arial" w:cs="Arial" w:hint="default"/>
      <w:color w:val="000000"/>
      <w:sz w:val="22"/>
      <w:szCs w:val="22"/>
      <w:shd w:val="clear" w:color="auto" w:fill="00FFFF"/>
    </w:rPr>
  </w:style>
  <w:style w:type="character" w:customStyle="1" w:styleId="normal8">
    <w:name w:val="normal8"/>
    <w:basedOn w:val="DefaultParagraphFont"/>
    <w:rPr>
      <w:rFonts w:ascii="Arial" w:hAnsi="Arial" w:cs="Arial" w:hint="default"/>
      <w:color w:val="000000"/>
      <w:sz w:val="22"/>
      <w:szCs w:val="22"/>
    </w:rPr>
  </w:style>
  <w:style w:type="character" w:customStyle="1" w:styleId="cff0be241">
    <w:name w:val="cff0be241"/>
    <w:basedOn w:val="DefaultParagraphFont"/>
    <w:rPr>
      <w:rFonts w:ascii="Arial" w:hAnsi="Arial" w:cs="Arial" w:hint="default"/>
      <w:color w:val="000000"/>
      <w:sz w:val="22"/>
      <w:szCs w:val="22"/>
      <w:shd w:val="clear" w:color="auto" w:fill="00FFFF"/>
    </w:rPr>
  </w:style>
  <w:style w:type="character" w:customStyle="1" w:styleId="normal10">
    <w:name w:val="normal10"/>
    <w:basedOn w:val="DefaultParagraphFont"/>
    <w:rPr>
      <w:rFonts w:ascii="Arial" w:hAnsi="Arial" w:cs="Arial" w:hint="default"/>
      <w:color w:val="000000"/>
      <w:sz w:val="22"/>
      <w:szCs w:val="22"/>
    </w:rPr>
  </w:style>
  <w:style w:type="character" w:customStyle="1" w:styleId="normal12">
    <w:name w:val="normal12"/>
    <w:basedOn w:val="DefaultParagraphFont"/>
    <w:rPr>
      <w:rFonts w:ascii="Arial" w:hAnsi="Arial" w:cs="Arial" w:hint="default"/>
      <w:color w:val="000000"/>
      <w:sz w:val="22"/>
      <w:szCs w:val="22"/>
    </w:rPr>
  </w:style>
  <w:style w:type="character" w:customStyle="1" w:styleId="normal14">
    <w:name w:val="normal14"/>
    <w:basedOn w:val="DefaultParagraphFont"/>
    <w:rPr>
      <w:rFonts w:ascii="Arial" w:hAnsi="Arial" w:cs="Arial" w:hint="default"/>
      <w:color w:val="000000"/>
      <w:sz w:val="22"/>
      <w:szCs w:val="22"/>
    </w:rPr>
  </w:style>
  <w:style w:type="character" w:customStyle="1" w:styleId="normal16">
    <w:name w:val="normal16"/>
    <w:basedOn w:val="DefaultParagraphFont"/>
    <w:rPr>
      <w:rFonts w:ascii="Arial" w:hAnsi="Arial" w:cs="Arial" w:hint="default"/>
      <w:color w:val="000000"/>
      <w:sz w:val="22"/>
      <w:szCs w:val="22"/>
    </w:rPr>
  </w:style>
  <w:style w:type="character" w:customStyle="1" w:styleId="normal18">
    <w:name w:val="normal18"/>
    <w:basedOn w:val="DefaultParagraphFont"/>
    <w:rPr>
      <w:rFonts w:ascii="Arial" w:hAnsi="Arial" w:cs="Arial" w:hint="default"/>
      <w:color w:val="000000"/>
      <w:sz w:val="22"/>
      <w:szCs w:val="22"/>
    </w:rPr>
  </w:style>
  <w:style w:type="character" w:customStyle="1" w:styleId="normal21">
    <w:name w:val="normal21"/>
    <w:basedOn w:val="DefaultParagraphFont"/>
    <w:rPr>
      <w:rFonts w:ascii="Arial" w:hAnsi="Arial" w:cs="Arial" w:hint="default"/>
      <w:color w:val="000000"/>
      <w:sz w:val="22"/>
      <w:szCs w:val="22"/>
    </w:rPr>
  </w:style>
  <w:style w:type="character" w:customStyle="1" w:styleId="normal23">
    <w:name w:val="normal23"/>
    <w:basedOn w:val="DefaultParagraphFont"/>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 A T M A T T E R S ! 4 9 2 7 4 9 7 . 1 < / d o c u m e n t i d >  
     < s e n d e r i d > F E H R I N G S < / s e n d e r i d >  
     < s e n d e r e m a i l > S A B I N E . F E H R I N G E R @ D L A P I P E R . C O M < / s e n d e r e m a i l >  
     < l a s t m o d i f i e d > 2 0 1 9 - 0 8 - 2 1 T 1 9 : 5 9 : 0 0 . 0 0 0 0 0 0 0 + 0 2 : 0 0 < / l a s t m o d i f i e d >  
     < d a t a b a s e > A T M A T T E R S < / d a t a b a s e >  
 < / p r o p e r t i e s > 
</file>

<file path=docProps/app.xml><?xml version="1.0" encoding="utf-8"?>
<Properties xmlns="http://schemas.openxmlformats.org/officeDocument/2006/extended-properties" xmlns:vt="http://schemas.openxmlformats.org/officeDocument/2006/docPropsVTypes">
  <Template>Normal</Template>
  <TotalTime>63</TotalTime>
  <Pages>32</Pages>
  <Words>7422</Words>
  <Characters>52553</Characters>
  <Application>Microsoft Office Word</Application>
  <DocSecurity>0</DocSecurity>
  <Lines>1751</Lines>
  <Paragraphs>301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Fehringer, Sabine</cp:lastModifiedBy>
  <cp:revision>10</cp:revision>
  <dcterms:created xsi:type="dcterms:W3CDTF">2019-07-31T00:08:00Z</dcterms:created>
  <dcterms:modified xsi:type="dcterms:W3CDTF">2019-08-21T17:59:00Z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62477f78-55b3-43b6-9b7e-dded009311f0</vt:lpwstr>
  </property>
</Properties>
</file>