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562" w:type="dxa"/>
        <w:tblLook w:val="04A0" w:firstRow="1" w:lastRow="0" w:firstColumn="1" w:lastColumn="0" w:noHBand="0" w:noVBand="1"/>
      </w:tblPr>
      <w:tblGrid>
        <w:gridCol w:w="9498"/>
      </w:tblGrid>
      <w:tr w:rsidR="00F42D7E" w:rsidRPr="001B3879" w14:paraId="7A9C3C90" w14:textId="77777777" w:rsidTr="00F42D7E">
        <w:tc>
          <w:tcPr>
            <w:tcW w:w="9498" w:type="dxa"/>
          </w:tcPr>
          <w:p w14:paraId="1C840B09" w14:textId="256EDB1D" w:rsidR="00F42D7E" w:rsidRPr="001B3879" w:rsidRDefault="00F42D7E" w:rsidP="001B3879">
            <w:pPr>
              <w:pStyle w:val="StandardWeb"/>
              <w:rPr>
                <w:rFonts w:ascii="Arial" w:hAnsi="Arial" w:cs="Arial"/>
                <w:sz w:val="22"/>
                <w:szCs w:val="22"/>
              </w:rPr>
            </w:pPr>
            <w:r w:rsidRPr="001B3879">
              <w:rPr>
                <w:rStyle w:val="normal1"/>
              </w:rPr>
              <w:t>[</w:t>
            </w:r>
            <w:r w:rsidRPr="001B3879">
              <w:rPr>
                <w:rStyle w:val="normal1"/>
                <w:highlight w:val="red"/>
              </w:rPr>
              <w:t>____</w:t>
            </w:r>
            <w:r w:rsidRPr="001B3879">
              <w:rPr>
                <w:rStyle w:val="normal1"/>
              </w:rPr>
              <w:t>] zu bearbeitende Teile bzw</w:t>
            </w:r>
            <w:r>
              <w:rPr>
                <w:rStyle w:val="normal1"/>
              </w:rPr>
              <w:t>.</w:t>
            </w:r>
            <w:r w:rsidRPr="001B3879">
              <w:rPr>
                <w:rStyle w:val="normal1"/>
              </w:rPr>
              <w:t xml:space="preserve"> zu prüfende Verweise</w:t>
            </w:r>
            <w:r w:rsidRPr="001B3879">
              <w:rPr>
                <w:rStyle w:val="normal1"/>
              </w:rPr>
              <w:br/>
              <w:t>[</w:t>
            </w:r>
            <w:r w:rsidRPr="001B3879">
              <w:rPr>
                <w:rStyle w:val="c943a4291"/>
              </w:rPr>
              <w:t>____</w:t>
            </w:r>
            <w:r w:rsidRPr="001B3879">
              <w:rPr>
                <w:rStyle w:val="normal1"/>
              </w:rPr>
              <w:t>] Alternativklauseln der Partei AAA</w:t>
            </w:r>
          </w:p>
          <w:p w14:paraId="10A80DFF" w14:textId="77777777" w:rsidR="00F42D7E" w:rsidRPr="001B3879" w:rsidRDefault="00F42D7E" w:rsidP="001B3879">
            <w:pPr>
              <w:pStyle w:val="StandardWeb"/>
              <w:rPr>
                <w:rFonts w:ascii="Arial" w:hAnsi="Arial" w:cs="Arial"/>
                <w:sz w:val="22"/>
                <w:szCs w:val="22"/>
              </w:rPr>
            </w:pPr>
            <w:r w:rsidRPr="001B3879">
              <w:rPr>
                <w:rStyle w:val="normal1"/>
              </w:rPr>
              <w:t>[</w:t>
            </w:r>
            <w:r w:rsidRPr="001B3879">
              <w:rPr>
                <w:rStyle w:val="c943a4281"/>
              </w:rPr>
              <w:t>____</w:t>
            </w:r>
            <w:r w:rsidRPr="001B3879">
              <w:rPr>
                <w:rStyle w:val="normal1"/>
              </w:rPr>
              <w:t xml:space="preserve">] Alternativklauseln der Partei BBB </w:t>
            </w:r>
          </w:p>
          <w:p w14:paraId="1A2DAC2E" w14:textId="77777777" w:rsidR="00F42D7E" w:rsidRPr="001B3879" w:rsidRDefault="00F42D7E" w:rsidP="001B3879">
            <w:pPr>
              <w:pStyle w:val="StandardWeb"/>
              <w:rPr>
                <w:rStyle w:val="normal1"/>
              </w:rPr>
            </w:pPr>
            <w:r w:rsidRPr="001B3879">
              <w:rPr>
                <w:rStyle w:val="normal1"/>
              </w:rPr>
              <w:t>(</w:t>
            </w:r>
            <w:r w:rsidRPr="001B3879">
              <w:rPr>
                <w:rStyle w:val="c943a4421"/>
              </w:rPr>
              <w:t>____</w:t>
            </w:r>
            <w:r w:rsidRPr="001B3879">
              <w:rPr>
                <w:rStyle w:val="normal1"/>
              </w:rPr>
              <w:t>) Hilfestellung für Eingabefelder, Optionen, Alternativen</w:t>
            </w:r>
          </w:p>
          <w:p w14:paraId="662EADE2" w14:textId="77777777" w:rsidR="00F42D7E" w:rsidRPr="001B3879" w:rsidRDefault="00F42D7E" w:rsidP="001B3879">
            <w:pPr>
              <w:pStyle w:val="StandardWeb"/>
              <w:rPr>
                <w:rFonts w:ascii="Arial" w:hAnsi="Arial" w:cs="Arial"/>
                <w:color w:val="000000"/>
                <w:sz w:val="22"/>
                <w:szCs w:val="22"/>
              </w:rPr>
            </w:pPr>
          </w:p>
          <w:p w14:paraId="10CC14FC" w14:textId="77777777" w:rsidR="00F42D7E" w:rsidRPr="001B3879" w:rsidRDefault="00F42D7E" w:rsidP="001B3879">
            <w:pPr>
              <w:pStyle w:val="StandardWeb"/>
              <w:jc w:val="center"/>
              <w:rPr>
                <w:rFonts w:ascii="Arial" w:hAnsi="Arial" w:cs="Arial"/>
                <w:sz w:val="22"/>
                <w:szCs w:val="22"/>
              </w:rPr>
            </w:pPr>
            <w:r w:rsidRPr="001B3879">
              <w:rPr>
                <w:rStyle w:val="c943a4331"/>
                <w:sz w:val="22"/>
                <w:szCs w:val="22"/>
              </w:rPr>
              <w:t>VEREINBARUNG ÜBER DIE GEMEINSAME GENERIERUNG UND NUTZUNG VON</w:t>
            </w:r>
            <w:r w:rsidRPr="001B3879">
              <w:rPr>
                <w:rStyle w:val="c943a4331"/>
                <w:sz w:val="22"/>
                <w:szCs w:val="22"/>
              </w:rPr>
              <w:br/>
              <w:t>„SENSIBLEN DATEN“</w:t>
            </w:r>
            <w:r w:rsidRPr="001B3879">
              <w:rPr>
                <w:rStyle w:val="c943a4331"/>
                <w:sz w:val="22"/>
                <w:szCs w:val="22"/>
              </w:rPr>
              <w:br/>
              <w:t>IN EINER „GESUNDHEITSDATENBANK“</w:t>
            </w:r>
            <w:r w:rsidRPr="001B3879">
              <w:rPr>
                <w:rStyle w:val="c943a4331"/>
                <w:sz w:val="22"/>
                <w:szCs w:val="22"/>
              </w:rPr>
              <w:br/>
            </w:r>
            <w:r w:rsidRPr="001B3879">
              <w:rPr>
                <w:rStyle w:val="c943a4261"/>
              </w:rPr>
              <w:br/>
              <w:t>abgeschlossen zwischen</w:t>
            </w:r>
          </w:p>
          <w:p w14:paraId="004DD28E" w14:textId="77777777" w:rsidR="00F42D7E" w:rsidRPr="001B3879" w:rsidRDefault="00F42D7E" w:rsidP="001B3879">
            <w:pPr>
              <w:rPr>
                <w:rFonts w:ascii="Arial" w:eastAsia="Times New Roman" w:hAnsi="Arial" w:cs="Arial"/>
                <w:sz w:val="22"/>
                <w:szCs w:val="22"/>
              </w:rPr>
            </w:pPr>
          </w:p>
          <w:p w14:paraId="44933E3E" w14:textId="77777777" w:rsidR="00F42D7E" w:rsidRPr="001B3879" w:rsidRDefault="00F42D7E" w:rsidP="001B3879">
            <w:pPr>
              <w:pStyle w:val="StandardWeb"/>
              <w:jc w:val="center"/>
              <w:rPr>
                <w:rFonts w:ascii="Arial" w:hAnsi="Arial" w:cs="Arial"/>
                <w:sz w:val="22"/>
                <w:szCs w:val="22"/>
              </w:rPr>
            </w:pPr>
            <w:r w:rsidRPr="001B3879">
              <w:rPr>
                <w:rStyle w:val="c943a4341"/>
              </w:rPr>
              <w:t>___________________</w:t>
            </w:r>
            <w:r w:rsidRPr="001B3879">
              <w:rPr>
                <w:rStyle w:val="c943a4261"/>
              </w:rPr>
              <w:t>(</w:t>
            </w:r>
            <w:r w:rsidRPr="001B3879">
              <w:rPr>
                <w:rStyle w:val="c943a4411"/>
                <w:sz w:val="22"/>
                <w:szCs w:val="22"/>
              </w:rPr>
              <w:t>Name, Firma</w:t>
            </w:r>
            <w:r w:rsidRPr="001B3879">
              <w:rPr>
                <w:rStyle w:val="c943a4261"/>
              </w:rPr>
              <w:t>)</w:t>
            </w:r>
          </w:p>
          <w:p w14:paraId="5FC7B441" w14:textId="77777777" w:rsidR="00F42D7E" w:rsidRPr="001B3879" w:rsidRDefault="00F42D7E" w:rsidP="001B3879">
            <w:pPr>
              <w:rPr>
                <w:rFonts w:ascii="Arial" w:eastAsia="Times New Roman" w:hAnsi="Arial" w:cs="Arial"/>
                <w:sz w:val="22"/>
                <w:szCs w:val="22"/>
              </w:rPr>
            </w:pPr>
          </w:p>
          <w:p w14:paraId="0B5B00C7" w14:textId="77777777" w:rsidR="00F42D7E" w:rsidRPr="001B3879" w:rsidRDefault="00F42D7E" w:rsidP="001B3879">
            <w:pPr>
              <w:pStyle w:val="StandardWeb"/>
              <w:jc w:val="center"/>
              <w:rPr>
                <w:rFonts w:ascii="Arial" w:hAnsi="Arial" w:cs="Arial"/>
                <w:sz w:val="22"/>
                <w:szCs w:val="22"/>
              </w:rPr>
            </w:pPr>
            <w:r w:rsidRPr="001B3879">
              <w:rPr>
                <w:rStyle w:val="c943a4261"/>
              </w:rPr>
              <w:t>eine nach</w:t>
            </w:r>
            <w:r w:rsidRPr="001B3879">
              <w:rPr>
                <w:rStyle w:val="c943a4341"/>
              </w:rPr>
              <w:t>_______________</w:t>
            </w:r>
            <w:r w:rsidRPr="001B3879">
              <w:rPr>
                <w:rStyle w:val="c943a4261"/>
              </w:rPr>
              <w:t>(</w:t>
            </w:r>
            <w:r w:rsidRPr="001B3879">
              <w:rPr>
                <w:rStyle w:val="c943a4411"/>
                <w:sz w:val="22"/>
                <w:szCs w:val="22"/>
              </w:rPr>
              <w:t>z.B. österreichischem</w:t>
            </w:r>
            <w:r w:rsidRPr="001B3879">
              <w:rPr>
                <w:rStyle w:val="c943a4261"/>
              </w:rPr>
              <w:t>) Recht errichtete Gesellschaft</w:t>
            </w:r>
          </w:p>
          <w:p w14:paraId="3D3979A1" w14:textId="77777777" w:rsidR="00F42D7E" w:rsidRPr="001B3879" w:rsidRDefault="00F42D7E" w:rsidP="001B3879">
            <w:pPr>
              <w:rPr>
                <w:rFonts w:ascii="Arial" w:eastAsia="Times New Roman" w:hAnsi="Arial" w:cs="Arial"/>
                <w:sz w:val="22"/>
                <w:szCs w:val="22"/>
              </w:rPr>
            </w:pPr>
          </w:p>
          <w:p w14:paraId="60FBFD30" w14:textId="77777777" w:rsidR="00F42D7E" w:rsidRPr="001B3879" w:rsidRDefault="00F42D7E" w:rsidP="001B3879">
            <w:pPr>
              <w:pStyle w:val="StandardWeb"/>
              <w:jc w:val="center"/>
              <w:rPr>
                <w:rFonts w:ascii="Arial" w:hAnsi="Arial" w:cs="Arial"/>
                <w:sz w:val="22"/>
                <w:szCs w:val="22"/>
              </w:rPr>
            </w:pPr>
            <w:r w:rsidRPr="001B3879">
              <w:rPr>
                <w:rStyle w:val="c943a4261"/>
              </w:rPr>
              <w:t> </w:t>
            </w:r>
            <w:r w:rsidRPr="001B3879">
              <w:rPr>
                <w:rStyle w:val="c943a4341"/>
              </w:rPr>
              <w:t>______________</w:t>
            </w:r>
            <w:r w:rsidRPr="001B3879">
              <w:rPr>
                <w:rStyle w:val="c943a4261"/>
              </w:rPr>
              <w:t>(</w:t>
            </w:r>
            <w:r w:rsidRPr="001B3879">
              <w:rPr>
                <w:rStyle w:val="c943a4411"/>
                <w:sz w:val="22"/>
                <w:szCs w:val="22"/>
              </w:rPr>
              <w:t>Firmenbuchnummer</w:t>
            </w:r>
            <w:r w:rsidRPr="001B3879">
              <w:rPr>
                <w:rStyle w:val="c943a4261"/>
              </w:rPr>
              <w:t xml:space="preserve">), </w:t>
            </w:r>
            <w:r w:rsidRPr="001B3879">
              <w:rPr>
                <w:rStyle w:val="c943a4341"/>
              </w:rPr>
              <w:t>__________________</w:t>
            </w:r>
            <w:r w:rsidRPr="001B3879">
              <w:rPr>
                <w:rStyle w:val="c943a4261"/>
              </w:rPr>
              <w:t>(</w:t>
            </w:r>
            <w:r w:rsidRPr="001B3879">
              <w:rPr>
                <w:rStyle w:val="c943a4411"/>
                <w:sz w:val="22"/>
                <w:szCs w:val="22"/>
              </w:rPr>
              <w:t>zuständiges Gericht</w:t>
            </w:r>
            <w:r w:rsidRPr="001B3879">
              <w:rPr>
                <w:rStyle w:val="c943a4261"/>
              </w:rPr>
              <w:t>)  mit dem Sitz in</w:t>
            </w:r>
            <w:r w:rsidRPr="001B3879">
              <w:rPr>
                <w:rStyle w:val="c943a4341"/>
              </w:rPr>
              <w:t>__________</w:t>
            </w:r>
            <w:r w:rsidRPr="001B3879">
              <w:rPr>
                <w:rStyle w:val="c943a4261"/>
              </w:rPr>
              <w:t>(</w:t>
            </w:r>
            <w:r w:rsidRPr="001B3879">
              <w:rPr>
                <w:rStyle w:val="c943a4411"/>
                <w:sz w:val="22"/>
                <w:szCs w:val="22"/>
              </w:rPr>
              <w:t>Ort</w:t>
            </w:r>
            <w:r w:rsidRPr="001B3879">
              <w:rPr>
                <w:rStyle w:val="c943a4261"/>
              </w:rPr>
              <w:t>)</w:t>
            </w:r>
          </w:p>
          <w:p w14:paraId="3E2D0343" w14:textId="77777777" w:rsidR="00F42D7E" w:rsidRPr="001B3879" w:rsidRDefault="00F42D7E" w:rsidP="001B3879">
            <w:pPr>
              <w:rPr>
                <w:rFonts w:ascii="Arial" w:eastAsia="Times New Roman" w:hAnsi="Arial" w:cs="Arial"/>
                <w:sz w:val="22"/>
                <w:szCs w:val="22"/>
              </w:rPr>
            </w:pPr>
          </w:p>
          <w:p w14:paraId="5FE2FF99" w14:textId="77777777" w:rsidR="00F42D7E" w:rsidRPr="001B3879" w:rsidRDefault="00F42D7E" w:rsidP="001B3879">
            <w:pPr>
              <w:pStyle w:val="StandardWeb"/>
              <w:jc w:val="center"/>
              <w:rPr>
                <w:rFonts w:ascii="Arial" w:hAnsi="Arial" w:cs="Arial"/>
                <w:sz w:val="22"/>
                <w:szCs w:val="22"/>
              </w:rPr>
            </w:pPr>
            <w:r w:rsidRPr="001B3879">
              <w:rPr>
                <w:rStyle w:val="c943a4341"/>
              </w:rPr>
              <w:t>___________________</w:t>
            </w:r>
            <w:r w:rsidRPr="001B3879">
              <w:rPr>
                <w:rStyle w:val="c943a4261"/>
              </w:rPr>
              <w:t>(</w:t>
            </w:r>
            <w:r w:rsidRPr="001B3879">
              <w:rPr>
                <w:rStyle w:val="c943a4411"/>
                <w:sz w:val="22"/>
                <w:szCs w:val="22"/>
              </w:rPr>
              <w:t>Adresse</w:t>
            </w:r>
            <w:r w:rsidRPr="001B3879">
              <w:rPr>
                <w:rStyle w:val="c943a4261"/>
              </w:rPr>
              <w:t>)</w:t>
            </w:r>
          </w:p>
          <w:p w14:paraId="22747DC1" w14:textId="77777777" w:rsidR="00F42D7E" w:rsidRPr="001B3879" w:rsidRDefault="00F42D7E" w:rsidP="001B3879">
            <w:pPr>
              <w:pStyle w:val="StandardWeb"/>
              <w:jc w:val="center"/>
              <w:rPr>
                <w:rStyle w:val="c943a4261"/>
              </w:rPr>
            </w:pPr>
          </w:p>
          <w:p w14:paraId="6A09218A" w14:textId="77777777" w:rsidR="00F42D7E" w:rsidRPr="001B3879" w:rsidRDefault="00F42D7E" w:rsidP="001B3879">
            <w:pPr>
              <w:pStyle w:val="StandardWeb"/>
              <w:jc w:val="center"/>
              <w:rPr>
                <w:rFonts w:ascii="Arial" w:hAnsi="Arial" w:cs="Arial"/>
                <w:sz w:val="22"/>
                <w:szCs w:val="22"/>
              </w:rPr>
            </w:pPr>
            <w:r w:rsidRPr="001B3879">
              <w:rPr>
                <w:rStyle w:val="c943a4261"/>
              </w:rPr>
              <w:t xml:space="preserve">vertreten durch </w:t>
            </w:r>
            <w:r w:rsidRPr="001B3879">
              <w:rPr>
                <w:rStyle w:val="c943a4341"/>
              </w:rPr>
              <w:t>___________</w:t>
            </w:r>
            <w:r w:rsidRPr="001B3879">
              <w:rPr>
                <w:rStyle w:val="c943a4261"/>
              </w:rPr>
              <w:t>(</w:t>
            </w:r>
            <w:r w:rsidRPr="001B3879">
              <w:rPr>
                <w:rStyle w:val="c943a4411"/>
                <w:sz w:val="22"/>
                <w:szCs w:val="22"/>
              </w:rPr>
              <w:t>Name</w:t>
            </w:r>
            <w:r w:rsidRPr="001B3879">
              <w:rPr>
                <w:rStyle w:val="c943a4261"/>
              </w:rPr>
              <w:t>)</w:t>
            </w:r>
          </w:p>
          <w:p w14:paraId="7B588F75" w14:textId="77777777" w:rsidR="00F42D7E" w:rsidRPr="001B3879" w:rsidRDefault="00F42D7E" w:rsidP="001B3879">
            <w:pPr>
              <w:pStyle w:val="StandardWeb"/>
              <w:jc w:val="center"/>
              <w:rPr>
                <w:rStyle w:val="c943a4261"/>
              </w:rPr>
            </w:pPr>
          </w:p>
          <w:p w14:paraId="0F848407" w14:textId="77777777" w:rsidR="00F42D7E" w:rsidRPr="001B3879" w:rsidRDefault="00F42D7E" w:rsidP="001B3879">
            <w:pPr>
              <w:pStyle w:val="StandardWeb"/>
              <w:jc w:val="center"/>
              <w:rPr>
                <w:rFonts w:ascii="Arial" w:hAnsi="Arial" w:cs="Arial"/>
                <w:sz w:val="22"/>
                <w:szCs w:val="22"/>
              </w:rPr>
            </w:pPr>
            <w:r w:rsidRPr="001B3879">
              <w:rPr>
                <w:rStyle w:val="c943a4261"/>
              </w:rPr>
              <w:t>(im Folgenden „</w:t>
            </w:r>
            <w:r w:rsidRPr="001B3879">
              <w:rPr>
                <w:rStyle w:val="c943a4381"/>
                <w:bCs w:val="0"/>
              </w:rPr>
              <w:t>AAA</w:t>
            </w:r>
            <w:r w:rsidRPr="001B3879">
              <w:rPr>
                <w:rStyle w:val="c943a4261"/>
              </w:rPr>
              <w:t>“ genannt)</w:t>
            </w:r>
          </w:p>
          <w:p w14:paraId="69C9B238" w14:textId="77777777" w:rsidR="00F42D7E" w:rsidRPr="001B3879" w:rsidRDefault="00F42D7E" w:rsidP="001B3879">
            <w:pPr>
              <w:pStyle w:val="StandardWeb"/>
              <w:jc w:val="center"/>
              <w:rPr>
                <w:rFonts w:ascii="Arial" w:eastAsia="Times New Roman" w:hAnsi="Arial" w:cs="Arial"/>
                <w:sz w:val="22"/>
                <w:szCs w:val="22"/>
              </w:rPr>
            </w:pPr>
            <w:r w:rsidRPr="001B3879">
              <w:rPr>
                <w:rStyle w:val="c943a4261"/>
              </w:rPr>
              <w:br/>
              <w:t>und</w:t>
            </w:r>
            <w:r w:rsidRPr="001B3879">
              <w:rPr>
                <w:rStyle w:val="c943a4261"/>
              </w:rPr>
              <w:br/>
            </w:r>
          </w:p>
          <w:p w14:paraId="79C6F897" w14:textId="77777777" w:rsidR="00F42D7E" w:rsidRPr="001B3879" w:rsidRDefault="00F42D7E" w:rsidP="001B3879">
            <w:pPr>
              <w:pStyle w:val="StandardWeb"/>
              <w:jc w:val="center"/>
              <w:rPr>
                <w:rFonts w:ascii="Arial" w:hAnsi="Arial" w:cs="Arial"/>
                <w:sz w:val="22"/>
                <w:szCs w:val="22"/>
              </w:rPr>
            </w:pPr>
            <w:r w:rsidRPr="001B3879">
              <w:rPr>
                <w:rStyle w:val="c943a4341"/>
              </w:rPr>
              <w:t>___________________</w:t>
            </w:r>
            <w:r w:rsidRPr="001B3879">
              <w:rPr>
                <w:rStyle w:val="c943a4261"/>
              </w:rPr>
              <w:t>(</w:t>
            </w:r>
            <w:r w:rsidRPr="001B3879">
              <w:rPr>
                <w:rStyle w:val="c943a4411"/>
                <w:sz w:val="22"/>
                <w:szCs w:val="22"/>
              </w:rPr>
              <w:t>Name, Firma</w:t>
            </w:r>
            <w:r w:rsidRPr="001B3879">
              <w:rPr>
                <w:rStyle w:val="c943a4261"/>
              </w:rPr>
              <w:t>)</w:t>
            </w:r>
          </w:p>
          <w:p w14:paraId="613BA86C" w14:textId="77777777" w:rsidR="00F42D7E" w:rsidRPr="001B3879" w:rsidRDefault="00F42D7E" w:rsidP="001B3879">
            <w:pPr>
              <w:rPr>
                <w:rFonts w:ascii="Arial" w:eastAsia="Times New Roman" w:hAnsi="Arial" w:cs="Arial"/>
                <w:sz w:val="22"/>
                <w:szCs w:val="22"/>
              </w:rPr>
            </w:pPr>
          </w:p>
          <w:p w14:paraId="48B922E8" w14:textId="77777777" w:rsidR="00F42D7E" w:rsidRPr="001B3879" w:rsidRDefault="00F42D7E" w:rsidP="001B3879">
            <w:pPr>
              <w:pStyle w:val="StandardWeb"/>
              <w:jc w:val="center"/>
              <w:rPr>
                <w:rFonts w:ascii="Arial" w:hAnsi="Arial" w:cs="Arial"/>
                <w:sz w:val="22"/>
                <w:szCs w:val="22"/>
              </w:rPr>
            </w:pPr>
            <w:r w:rsidRPr="001B3879">
              <w:rPr>
                <w:rStyle w:val="c943a4261"/>
              </w:rPr>
              <w:t>eine nach</w:t>
            </w:r>
            <w:r w:rsidRPr="001B3879">
              <w:rPr>
                <w:rStyle w:val="c943a4341"/>
              </w:rPr>
              <w:t>_______________</w:t>
            </w:r>
            <w:r w:rsidRPr="001B3879">
              <w:rPr>
                <w:rStyle w:val="c943a4261"/>
              </w:rPr>
              <w:t>(</w:t>
            </w:r>
            <w:r w:rsidRPr="001B3879">
              <w:rPr>
                <w:rStyle w:val="c943a4411"/>
                <w:sz w:val="22"/>
                <w:szCs w:val="22"/>
              </w:rPr>
              <w:t>z.B. österreichischem</w:t>
            </w:r>
            <w:r w:rsidRPr="001B3879">
              <w:rPr>
                <w:rStyle w:val="c943a4261"/>
              </w:rPr>
              <w:t>) Recht errichtete Gesellschaft</w:t>
            </w:r>
          </w:p>
          <w:p w14:paraId="017CF8CC" w14:textId="77777777" w:rsidR="00F42D7E" w:rsidRPr="001B3879" w:rsidRDefault="00F42D7E" w:rsidP="001B3879">
            <w:pPr>
              <w:rPr>
                <w:rFonts w:ascii="Arial" w:eastAsia="Times New Roman" w:hAnsi="Arial" w:cs="Arial"/>
                <w:sz w:val="22"/>
                <w:szCs w:val="22"/>
              </w:rPr>
            </w:pPr>
          </w:p>
          <w:p w14:paraId="32616DC5" w14:textId="77777777" w:rsidR="00F42D7E" w:rsidRPr="001B3879" w:rsidRDefault="00F42D7E" w:rsidP="001B3879">
            <w:pPr>
              <w:pStyle w:val="StandardWeb"/>
              <w:jc w:val="center"/>
              <w:rPr>
                <w:rFonts w:ascii="Arial" w:hAnsi="Arial" w:cs="Arial"/>
                <w:sz w:val="22"/>
                <w:szCs w:val="22"/>
              </w:rPr>
            </w:pPr>
            <w:r w:rsidRPr="001B3879">
              <w:rPr>
                <w:rStyle w:val="c943a4261"/>
              </w:rPr>
              <w:t> </w:t>
            </w:r>
            <w:r w:rsidRPr="001B3879">
              <w:rPr>
                <w:rStyle w:val="c943a4341"/>
              </w:rPr>
              <w:t>______________</w:t>
            </w:r>
            <w:r w:rsidRPr="001B3879">
              <w:rPr>
                <w:rStyle w:val="c943a4261"/>
              </w:rPr>
              <w:t>(</w:t>
            </w:r>
            <w:r w:rsidRPr="001B3879">
              <w:rPr>
                <w:rStyle w:val="c943a4411"/>
                <w:sz w:val="22"/>
                <w:szCs w:val="22"/>
              </w:rPr>
              <w:t>Firmenbuchnummer</w:t>
            </w:r>
            <w:r w:rsidRPr="001B3879">
              <w:rPr>
                <w:rStyle w:val="c943a4261"/>
              </w:rPr>
              <w:t xml:space="preserve">), </w:t>
            </w:r>
            <w:r w:rsidRPr="001B3879">
              <w:rPr>
                <w:rStyle w:val="c943a4341"/>
              </w:rPr>
              <w:t>__________________</w:t>
            </w:r>
            <w:r w:rsidRPr="001B3879">
              <w:rPr>
                <w:rStyle w:val="c943a4261"/>
              </w:rPr>
              <w:t>(</w:t>
            </w:r>
            <w:r w:rsidRPr="001B3879">
              <w:rPr>
                <w:rStyle w:val="c943a4411"/>
                <w:sz w:val="22"/>
                <w:szCs w:val="22"/>
              </w:rPr>
              <w:t>zuständiges Gericht</w:t>
            </w:r>
            <w:r w:rsidRPr="001B3879">
              <w:rPr>
                <w:rStyle w:val="c943a4261"/>
              </w:rPr>
              <w:t>)  mit dem Sitz in</w:t>
            </w:r>
            <w:r w:rsidRPr="001B3879">
              <w:rPr>
                <w:rStyle w:val="c943a4341"/>
              </w:rPr>
              <w:t>__________</w:t>
            </w:r>
            <w:r w:rsidRPr="001B3879">
              <w:rPr>
                <w:rStyle w:val="c943a4261"/>
              </w:rPr>
              <w:t>(</w:t>
            </w:r>
            <w:r w:rsidRPr="001B3879">
              <w:rPr>
                <w:rStyle w:val="c943a4411"/>
                <w:sz w:val="22"/>
                <w:szCs w:val="22"/>
              </w:rPr>
              <w:t>Ort</w:t>
            </w:r>
            <w:r w:rsidRPr="001B3879">
              <w:rPr>
                <w:rStyle w:val="c943a4261"/>
              </w:rPr>
              <w:t>)</w:t>
            </w:r>
          </w:p>
          <w:p w14:paraId="5EBCF93B" w14:textId="77777777" w:rsidR="00F42D7E" w:rsidRPr="001B3879" w:rsidRDefault="00F42D7E" w:rsidP="001B3879">
            <w:pPr>
              <w:rPr>
                <w:rFonts w:ascii="Arial" w:eastAsia="Times New Roman" w:hAnsi="Arial" w:cs="Arial"/>
                <w:sz w:val="22"/>
                <w:szCs w:val="22"/>
              </w:rPr>
            </w:pPr>
          </w:p>
          <w:p w14:paraId="12B22989" w14:textId="77777777" w:rsidR="00F42D7E" w:rsidRPr="001B3879" w:rsidRDefault="00F42D7E" w:rsidP="001B3879">
            <w:pPr>
              <w:pStyle w:val="StandardWeb"/>
              <w:jc w:val="center"/>
              <w:rPr>
                <w:rFonts w:ascii="Arial" w:hAnsi="Arial" w:cs="Arial"/>
                <w:sz w:val="22"/>
                <w:szCs w:val="22"/>
              </w:rPr>
            </w:pPr>
            <w:r w:rsidRPr="001B3879">
              <w:rPr>
                <w:rStyle w:val="c943a4341"/>
              </w:rPr>
              <w:t>___________________</w:t>
            </w:r>
            <w:r w:rsidRPr="001B3879">
              <w:rPr>
                <w:rStyle w:val="c943a4261"/>
              </w:rPr>
              <w:t>(</w:t>
            </w:r>
            <w:r w:rsidRPr="001B3879">
              <w:rPr>
                <w:rStyle w:val="c943a4411"/>
                <w:sz w:val="22"/>
                <w:szCs w:val="22"/>
              </w:rPr>
              <w:t>Adresse</w:t>
            </w:r>
            <w:r w:rsidRPr="001B3879">
              <w:rPr>
                <w:rStyle w:val="c943a4261"/>
              </w:rPr>
              <w:t>)</w:t>
            </w:r>
          </w:p>
          <w:p w14:paraId="57F02783" w14:textId="77777777" w:rsidR="00F42D7E" w:rsidRPr="001B3879" w:rsidRDefault="00F42D7E" w:rsidP="001B3879">
            <w:pPr>
              <w:pStyle w:val="StandardWeb"/>
              <w:jc w:val="center"/>
              <w:rPr>
                <w:rStyle w:val="c943a4261"/>
              </w:rPr>
            </w:pPr>
          </w:p>
          <w:p w14:paraId="3328B604" w14:textId="77777777" w:rsidR="00F42D7E" w:rsidRPr="001B3879" w:rsidRDefault="00F42D7E" w:rsidP="001B3879">
            <w:pPr>
              <w:pStyle w:val="StandardWeb"/>
              <w:jc w:val="center"/>
              <w:rPr>
                <w:rFonts w:ascii="Arial" w:hAnsi="Arial" w:cs="Arial"/>
                <w:sz w:val="22"/>
                <w:szCs w:val="22"/>
              </w:rPr>
            </w:pPr>
            <w:r w:rsidRPr="001B3879">
              <w:rPr>
                <w:rStyle w:val="c943a4261"/>
              </w:rPr>
              <w:t xml:space="preserve">vertreten durch </w:t>
            </w:r>
            <w:r w:rsidRPr="001B3879">
              <w:rPr>
                <w:rStyle w:val="c943a4341"/>
              </w:rPr>
              <w:t>___________</w:t>
            </w:r>
            <w:r w:rsidRPr="001B3879">
              <w:rPr>
                <w:rStyle w:val="c943a4261"/>
              </w:rPr>
              <w:t>(</w:t>
            </w:r>
            <w:r w:rsidRPr="001B3879">
              <w:rPr>
                <w:rStyle w:val="c943a4411"/>
                <w:sz w:val="22"/>
                <w:szCs w:val="22"/>
              </w:rPr>
              <w:t>Name</w:t>
            </w:r>
            <w:r w:rsidRPr="001B3879">
              <w:rPr>
                <w:rStyle w:val="c943a4261"/>
              </w:rPr>
              <w:t>)</w:t>
            </w:r>
          </w:p>
          <w:p w14:paraId="3BDB80BC" w14:textId="77777777" w:rsidR="00F42D7E" w:rsidRPr="001B3879" w:rsidRDefault="00F42D7E" w:rsidP="001B3879">
            <w:pPr>
              <w:pStyle w:val="StandardWeb"/>
              <w:jc w:val="center"/>
              <w:rPr>
                <w:rStyle w:val="c943a4261"/>
              </w:rPr>
            </w:pPr>
          </w:p>
          <w:p w14:paraId="6EE6787F" w14:textId="77777777" w:rsidR="00F42D7E" w:rsidRPr="001B3879" w:rsidRDefault="00F42D7E" w:rsidP="001B3879">
            <w:pPr>
              <w:pStyle w:val="StandardWeb"/>
              <w:jc w:val="center"/>
              <w:rPr>
                <w:rFonts w:ascii="Arial" w:hAnsi="Arial" w:cs="Arial"/>
                <w:sz w:val="22"/>
                <w:szCs w:val="22"/>
              </w:rPr>
            </w:pPr>
            <w:r w:rsidRPr="001B3879">
              <w:rPr>
                <w:rStyle w:val="c943a4261"/>
              </w:rPr>
              <w:t>(im Folgenden „</w:t>
            </w:r>
            <w:r w:rsidRPr="001B3879">
              <w:rPr>
                <w:rStyle w:val="c943a4381"/>
              </w:rPr>
              <w:t>BBB</w:t>
            </w:r>
            <w:r w:rsidRPr="001B3879">
              <w:rPr>
                <w:rStyle w:val="c943a4261"/>
              </w:rPr>
              <w:t>“ genannt)</w:t>
            </w:r>
          </w:p>
          <w:p w14:paraId="1AA995ED" w14:textId="77777777" w:rsidR="00F42D7E" w:rsidRPr="001B3879" w:rsidRDefault="00F42D7E" w:rsidP="001B3879">
            <w:pPr>
              <w:spacing w:after="240"/>
              <w:rPr>
                <w:rFonts w:ascii="Arial" w:eastAsia="Times New Roman" w:hAnsi="Arial" w:cs="Arial"/>
                <w:sz w:val="22"/>
                <w:szCs w:val="22"/>
              </w:rPr>
            </w:pPr>
          </w:p>
          <w:p w14:paraId="76E96D40" w14:textId="77777777" w:rsidR="00F42D7E" w:rsidRPr="001B3879" w:rsidRDefault="00F42D7E" w:rsidP="001B3879">
            <w:pPr>
              <w:pStyle w:val="StandardWeb"/>
              <w:jc w:val="center"/>
              <w:rPr>
                <w:rFonts w:ascii="Arial" w:hAnsi="Arial" w:cs="Arial"/>
                <w:sz w:val="22"/>
                <w:szCs w:val="22"/>
              </w:rPr>
            </w:pPr>
            <w:r w:rsidRPr="001B3879">
              <w:rPr>
                <w:rStyle w:val="c943a4261"/>
              </w:rPr>
              <w:t>nachstehend gemeinsam oder einzeln auch „</w:t>
            </w:r>
            <w:r w:rsidRPr="001B3879">
              <w:rPr>
                <w:rStyle w:val="c943a4381"/>
                <w:bCs w:val="0"/>
              </w:rPr>
              <w:t>Partei</w:t>
            </w:r>
            <w:r w:rsidRPr="001B3879">
              <w:rPr>
                <w:rStyle w:val="c943a4261"/>
              </w:rPr>
              <w:t>“ oder „</w:t>
            </w:r>
            <w:r w:rsidRPr="001B3879">
              <w:rPr>
                <w:rStyle w:val="c943a4381"/>
                <w:bCs w:val="0"/>
              </w:rPr>
              <w:t>Parteien</w:t>
            </w:r>
            <w:r w:rsidRPr="001B3879">
              <w:rPr>
                <w:rStyle w:val="c943a4261"/>
              </w:rPr>
              <w:t>“ genannt</w:t>
            </w:r>
          </w:p>
          <w:p w14:paraId="74112D61" w14:textId="77777777" w:rsidR="00F42D7E" w:rsidRPr="001B3879" w:rsidRDefault="00F42D7E" w:rsidP="001B3879">
            <w:pPr>
              <w:rPr>
                <w:rFonts w:ascii="Arial" w:eastAsia="Times New Roman" w:hAnsi="Arial" w:cs="Arial"/>
                <w:sz w:val="22"/>
                <w:szCs w:val="22"/>
              </w:rPr>
            </w:pPr>
          </w:p>
          <w:p w14:paraId="5206C944" w14:textId="77777777" w:rsidR="00F42D7E" w:rsidRPr="001B3879" w:rsidRDefault="00F42D7E" w:rsidP="001B3879">
            <w:pPr>
              <w:pStyle w:val="StandardWeb"/>
              <w:ind w:left="0"/>
              <w:jc w:val="center"/>
              <w:rPr>
                <w:rFonts w:ascii="Arial" w:hAnsi="Arial" w:cs="Arial"/>
                <w:sz w:val="22"/>
                <w:szCs w:val="22"/>
              </w:rPr>
            </w:pPr>
            <w:r w:rsidRPr="001B3879">
              <w:rPr>
                <w:rStyle w:val="c943a4261"/>
              </w:rPr>
              <w:t>Die Substantiva verstehen sich geschlechtsneutral. Lediglich aus Gründen der Vereinfachung wird die männliche Form angegeben.</w:t>
            </w:r>
          </w:p>
          <w:p w14:paraId="6EE36446" w14:textId="77777777" w:rsidR="00F42D7E" w:rsidRPr="001B3879" w:rsidRDefault="00F42D7E" w:rsidP="00862C6F">
            <w:pPr>
              <w:spacing w:line="300" w:lineRule="atLeast"/>
              <w:jc w:val="both"/>
              <w:rPr>
                <w:rFonts w:ascii="Arial" w:hAnsi="Arial" w:cs="Arial"/>
                <w:sz w:val="22"/>
                <w:szCs w:val="22"/>
              </w:rPr>
            </w:pPr>
          </w:p>
        </w:tc>
      </w:tr>
      <w:tr w:rsidR="00F42D7E" w:rsidRPr="001B3879" w14:paraId="4937A974" w14:textId="77777777" w:rsidTr="00F42D7E">
        <w:tc>
          <w:tcPr>
            <w:tcW w:w="9498" w:type="dxa"/>
          </w:tcPr>
          <w:p w14:paraId="76476AEA" w14:textId="6830708F" w:rsidR="00F42D7E" w:rsidRPr="001B3879" w:rsidRDefault="00F42D7E" w:rsidP="001B3879">
            <w:pPr>
              <w:pStyle w:val="Listenabsatz"/>
              <w:numPr>
                <w:ilvl w:val="0"/>
                <w:numId w:val="1"/>
              </w:numPr>
              <w:jc w:val="center"/>
              <w:rPr>
                <w:rStyle w:val="normal1"/>
              </w:rPr>
            </w:pPr>
            <w:r w:rsidRPr="001B3879">
              <w:rPr>
                <w:rStyle w:val="ce840541"/>
              </w:rPr>
              <w:t>DEFINITIONEN (alphabetisch)</w:t>
            </w:r>
          </w:p>
        </w:tc>
      </w:tr>
      <w:tr w:rsidR="00F42D7E" w:rsidRPr="001B3879" w14:paraId="0D36CDC7" w14:textId="77777777" w:rsidTr="00F42D7E">
        <w:tc>
          <w:tcPr>
            <w:tcW w:w="9498" w:type="dxa"/>
          </w:tcPr>
          <w:p w14:paraId="782F10FB" w14:textId="60E9E0DA" w:rsidR="00F42D7E" w:rsidRPr="001B3879" w:rsidRDefault="00F42D7E" w:rsidP="001B3879">
            <w:pPr>
              <w:pStyle w:val="Listenabsatz"/>
              <w:numPr>
                <w:ilvl w:val="1"/>
                <w:numId w:val="1"/>
              </w:numPr>
              <w:ind w:left="661" w:hanging="661"/>
              <w:rPr>
                <w:rStyle w:val="ce840541"/>
                <w:rFonts w:eastAsia="Times New Roman"/>
                <w:b w:val="0"/>
                <w:bCs w:val="0"/>
                <w:color w:val="auto"/>
              </w:rPr>
            </w:pPr>
            <w:r w:rsidRPr="001B3879">
              <w:rPr>
                <w:rFonts w:ascii="Arial" w:eastAsia="Times New Roman" w:hAnsi="Arial" w:cs="Arial"/>
                <w:sz w:val="22"/>
                <w:szCs w:val="22"/>
              </w:rPr>
              <w:t>Betriebs- und Geschäftsgeheimnis: eine Information, die (i) geheim ist, weil sie weder in ihrer Gesamtheit noch in der genauen Anordnung und Zusammensetzung ihrer Bestandteile den Personen in den Kreisen, die üblicherweise mit dieser Art von Informationen zu tun haben, allgemein bekannt noch ohne weiteres zugänglich ist; (ii) von kommerziellem Wert ist, weil sie geheim ist, und (iii) Gegenstand von den Umständen entsprechenden angemessenen Geheimhaltungsmaßnahmen durch die Person ist, welche die rechtmäßige Verfügungsgewalt über diese Informationen ausübt [</w:t>
            </w:r>
            <w:r w:rsidRPr="001B3879">
              <w:rPr>
                <w:rFonts w:ascii="Arial" w:eastAsia="Times New Roman" w:hAnsi="Arial" w:cs="Arial"/>
                <w:sz w:val="22"/>
                <w:szCs w:val="22"/>
                <w:highlight w:val="cyan"/>
              </w:rPr>
              <w:t>und (</w:t>
            </w:r>
            <w:r>
              <w:rPr>
                <w:rFonts w:ascii="Arial" w:eastAsia="Times New Roman" w:hAnsi="Arial" w:cs="Arial"/>
                <w:sz w:val="22"/>
                <w:szCs w:val="22"/>
                <w:highlight w:val="cyan"/>
              </w:rPr>
              <w:t>iv</w:t>
            </w:r>
            <w:r w:rsidRPr="001B3879">
              <w:rPr>
                <w:rFonts w:ascii="Arial" w:eastAsia="Times New Roman" w:hAnsi="Arial" w:cs="Arial"/>
                <w:sz w:val="22"/>
                <w:szCs w:val="22"/>
                <w:highlight w:val="cyan"/>
              </w:rPr>
              <w:t>) von der bereitstellenden Partei als solche gekennzeichnet</w:t>
            </w:r>
            <w:r>
              <w:rPr>
                <w:rFonts w:ascii="Arial" w:eastAsia="Times New Roman" w:hAnsi="Arial" w:cs="Arial"/>
                <w:sz w:val="22"/>
                <w:szCs w:val="22"/>
                <w:highlight w:val="cyan"/>
              </w:rPr>
              <w:t xml:space="preserve"> ist</w:t>
            </w:r>
            <w:r w:rsidRPr="001B3879">
              <w:rPr>
                <w:rFonts w:ascii="Arial" w:eastAsia="Times New Roman" w:hAnsi="Arial" w:cs="Arial"/>
                <w:sz w:val="22"/>
                <w:szCs w:val="22"/>
                <w:highlight w:val="cyan"/>
              </w:rPr>
              <w:t>, etwa mit „geheim“ oder Sinngleichem</w:t>
            </w:r>
            <w:r w:rsidRPr="001B3879">
              <w:rPr>
                <w:rFonts w:ascii="Arial" w:eastAsia="Times New Roman" w:hAnsi="Arial" w:cs="Arial"/>
                <w:sz w:val="22"/>
                <w:szCs w:val="22"/>
              </w:rPr>
              <w:t>].</w:t>
            </w:r>
          </w:p>
        </w:tc>
      </w:tr>
      <w:tr w:rsidR="00F42D7E" w:rsidRPr="001B3879" w14:paraId="5E5AE056" w14:textId="77777777" w:rsidTr="00F42D7E">
        <w:tc>
          <w:tcPr>
            <w:tcW w:w="9498" w:type="dxa"/>
          </w:tcPr>
          <w:p w14:paraId="2B223E06" w14:textId="70838EE7" w:rsidR="00F42D7E" w:rsidRPr="001B3879" w:rsidRDefault="00F42D7E"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Betroffene: „betroffene Personen“, also deren personenbezogene Daten verarbeitet werden.</w:t>
            </w:r>
          </w:p>
        </w:tc>
      </w:tr>
      <w:tr w:rsidR="00F42D7E" w:rsidRPr="001B3879" w14:paraId="319B4E4B" w14:textId="77777777" w:rsidTr="00F42D7E">
        <w:tc>
          <w:tcPr>
            <w:tcW w:w="9498" w:type="dxa"/>
          </w:tcPr>
          <w:p w14:paraId="43BA06EF" w14:textId="56338D73" w:rsidR="00F42D7E" w:rsidRPr="001B3879" w:rsidRDefault="00F42D7E"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Daten: personenbezogene Gesundheitsdaten der Betroffenen, welche gemäß gegenständlicher Vereinbarung von den Parteien verarbeitet werden.</w:t>
            </w:r>
          </w:p>
        </w:tc>
      </w:tr>
      <w:tr w:rsidR="00F42D7E" w:rsidRPr="001B3879" w14:paraId="15FCC83D" w14:textId="77777777" w:rsidTr="00F42D7E">
        <w:tc>
          <w:tcPr>
            <w:tcW w:w="9498" w:type="dxa"/>
          </w:tcPr>
          <w:p w14:paraId="6613A3B1" w14:textId="3BCE3415" w:rsidR="00F42D7E" w:rsidRPr="001B3879" w:rsidRDefault="00F42D7E"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lastRenderedPageBreak/>
              <w:t>Dritte: alle juristischen oder natürlichen Personen außer den Parteien und deren Angestellte.</w:t>
            </w:r>
          </w:p>
        </w:tc>
      </w:tr>
      <w:tr w:rsidR="00F42D7E" w:rsidRPr="001B3879" w14:paraId="705C659F" w14:textId="77777777" w:rsidTr="00F42D7E">
        <w:tc>
          <w:tcPr>
            <w:tcW w:w="9498" w:type="dxa"/>
          </w:tcPr>
          <w:p w14:paraId="28CD4266" w14:textId="04F3CAFB" w:rsidR="00F42D7E" w:rsidRPr="001B3879" w:rsidRDefault="00F42D7E"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Schriftlichkeit bzw. schriftlich:</w:t>
            </w:r>
            <w:r w:rsidRPr="001B3879">
              <w:rPr>
                <w:rFonts w:ascii="Arial" w:eastAsia="Times New Roman" w:hAnsi="Arial" w:cs="Arial"/>
                <w:sz w:val="22"/>
                <w:szCs w:val="22"/>
                <w:lang w:val="de-DE" w:eastAsia="de-DE"/>
              </w:rPr>
              <w:t xml:space="preserve"> meint die schlichte eigenhändige Unterschriftsform</w:t>
            </w:r>
            <w:r>
              <w:rPr>
                <w:rFonts w:ascii="Arial" w:eastAsia="Times New Roman" w:hAnsi="Arial" w:cs="Arial"/>
                <w:sz w:val="22"/>
                <w:szCs w:val="22"/>
                <w:lang w:val="de-DE" w:eastAsia="de-DE"/>
              </w:rPr>
              <w:t xml:space="preserve"> oder ihr gleichgestellte digitale Signaturen</w:t>
            </w:r>
            <w:r w:rsidRPr="001B3879">
              <w:rPr>
                <w:rFonts w:ascii="Arial" w:eastAsia="Times New Roman" w:hAnsi="Arial" w:cs="Arial"/>
                <w:sz w:val="22"/>
                <w:szCs w:val="22"/>
                <w:lang w:val="de-DE" w:eastAsia="de-DE"/>
              </w:rPr>
              <w:t>. [</w:t>
            </w:r>
            <w:r w:rsidRPr="001B3879">
              <w:rPr>
                <w:rFonts w:ascii="Arial" w:eastAsia="Times New Roman" w:hAnsi="Arial" w:cs="Arial"/>
                <w:sz w:val="22"/>
                <w:szCs w:val="22"/>
                <w:highlight w:val="cyan"/>
                <w:lang w:val="de-DE" w:eastAsia="de-DE"/>
              </w:rPr>
              <w:t xml:space="preserve">Gemäß dem in der AAA geltenden Vieraugenprinzip bedarf es jedenfalls der Unterschrift von zwei </w:t>
            </w:r>
            <w:r>
              <w:rPr>
                <w:rFonts w:ascii="Arial" w:eastAsia="Times New Roman" w:hAnsi="Arial" w:cs="Arial"/>
                <w:sz w:val="22"/>
                <w:szCs w:val="22"/>
                <w:highlight w:val="cyan"/>
                <w:lang w:val="de-DE" w:eastAsia="de-DE"/>
              </w:rPr>
              <w:t>V</w:t>
            </w:r>
            <w:r w:rsidRPr="001B3879">
              <w:rPr>
                <w:rFonts w:ascii="Arial" w:eastAsia="Times New Roman" w:hAnsi="Arial" w:cs="Arial"/>
                <w:sz w:val="22"/>
                <w:szCs w:val="22"/>
                <w:highlight w:val="cyan"/>
                <w:lang w:val="de-DE" w:eastAsia="de-DE"/>
              </w:rPr>
              <w:t>ertretungsbefugten</w:t>
            </w:r>
            <w:r w:rsidRPr="001B3879">
              <w:rPr>
                <w:rFonts w:ascii="Arial" w:eastAsia="Times New Roman" w:hAnsi="Arial" w:cs="Arial"/>
                <w:sz w:val="22"/>
                <w:szCs w:val="22"/>
                <w:lang w:val="de-DE" w:eastAsia="de-DE"/>
              </w:rPr>
              <w:t xml:space="preserve">]. </w:t>
            </w:r>
            <w:r w:rsidRPr="001B3879">
              <w:rPr>
                <w:rFonts w:ascii="Arial" w:eastAsia="Times New Roman" w:hAnsi="Arial" w:cs="Arial"/>
                <w:sz w:val="22"/>
                <w:szCs w:val="22"/>
                <w:lang w:val="de-DE"/>
              </w:rPr>
              <w:t>Es gilt für die Rechtswirkung jeweils das Einlangen/ die Abrufbarkeit beim Empfänger.</w:t>
            </w:r>
          </w:p>
        </w:tc>
      </w:tr>
      <w:tr w:rsidR="00F42D7E" w:rsidRPr="001B3879" w14:paraId="02B64F06" w14:textId="77777777" w:rsidTr="00F42D7E">
        <w:tc>
          <w:tcPr>
            <w:tcW w:w="9498" w:type="dxa"/>
          </w:tcPr>
          <w:p w14:paraId="13E28095" w14:textId="30655CCB" w:rsidR="00F42D7E" w:rsidRPr="001B3879" w:rsidRDefault="00F42D7E"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Schutzrechte: Immaterialgüterrechte, insbesondere nach dem Urheberrecht-, Patent-, Muster- und/ oder Kennzeichenrecht, insbesondere Markenrechte.</w:t>
            </w:r>
          </w:p>
        </w:tc>
      </w:tr>
      <w:tr w:rsidR="00F42D7E" w:rsidRPr="001B3879" w14:paraId="09890278" w14:textId="77777777" w:rsidTr="00F42D7E">
        <w:tc>
          <w:tcPr>
            <w:tcW w:w="9498" w:type="dxa"/>
          </w:tcPr>
          <w:p w14:paraId="396B9639" w14:textId="48191027" w:rsidR="00F42D7E" w:rsidRPr="001B3879" w:rsidRDefault="00F42D7E"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 xml:space="preserve">SV-Audit: Ein zur Vermeidung von Gerichtsverfahren vorgesehenes Streitschlichtungsverfahren unter Einbeziehung eines Sachverständigen, wie in </w:t>
            </w:r>
            <w:r w:rsidRPr="001B3879">
              <w:rPr>
                <w:rFonts w:ascii="Arial" w:eastAsia="Times New Roman" w:hAnsi="Arial" w:cs="Arial"/>
                <w:sz w:val="22"/>
                <w:szCs w:val="22"/>
                <w:highlight w:val="red"/>
              </w:rPr>
              <w:t>Punkt 9.</w:t>
            </w:r>
            <w:r w:rsidRPr="001B3879">
              <w:rPr>
                <w:rFonts w:ascii="Arial" w:eastAsia="Times New Roman" w:hAnsi="Arial" w:cs="Arial"/>
                <w:sz w:val="22"/>
                <w:szCs w:val="22"/>
              </w:rPr>
              <w:t xml:space="preserve"> Geregelt.</w:t>
            </w:r>
          </w:p>
        </w:tc>
      </w:tr>
      <w:tr w:rsidR="00F42D7E" w:rsidRPr="001B3879" w14:paraId="4E3CBD1E" w14:textId="77777777" w:rsidTr="00F42D7E">
        <w:tc>
          <w:tcPr>
            <w:tcW w:w="9498" w:type="dxa"/>
          </w:tcPr>
          <w:p w14:paraId="7FD90053" w14:textId="06B37100" w:rsidR="00F42D7E" w:rsidRPr="001B3879" w:rsidRDefault="00F42D7E"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Tag des Inkrafttretens: der Tag der Unterzeichnung durch den Auftraggeber und der AAA.</w:t>
            </w:r>
          </w:p>
        </w:tc>
      </w:tr>
      <w:tr w:rsidR="00F42D7E" w:rsidRPr="001B3879" w14:paraId="3D5FF933" w14:textId="77777777" w:rsidTr="00F42D7E">
        <w:tc>
          <w:tcPr>
            <w:tcW w:w="9498" w:type="dxa"/>
          </w:tcPr>
          <w:p w14:paraId="3C3E866E" w14:textId="4F68DA17" w:rsidR="00F42D7E" w:rsidRPr="001B3879" w:rsidRDefault="00F42D7E"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Verarbeitung ist iSd Art 4 Abs 2 DSGVO zu verstehen, also jeder mit oder ohne Hilfe automatisierter Verfahren ausgeführte Vorgang oder jede solche Vorgangsreihe im Zusammenhang mit den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tc>
      </w:tr>
      <w:tr w:rsidR="00F42D7E" w:rsidRPr="001B3879" w14:paraId="28B089D1" w14:textId="77777777" w:rsidTr="00F42D7E">
        <w:tc>
          <w:tcPr>
            <w:tcW w:w="9498" w:type="dxa"/>
          </w:tcPr>
          <w:p w14:paraId="124CE047" w14:textId="06F7144E" w:rsidR="00F42D7E" w:rsidRPr="001B3879" w:rsidRDefault="00F42D7E"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Verbundene(s) Unternehmen: [</w:t>
            </w:r>
            <w:r w:rsidRPr="001B3879">
              <w:rPr>
                <w:rStyle w:val="normal4"/>
                <w:highlight w:val="green"/>
              </w:rPr>
              <w:t xml:space="preserve">solche Unternehmen, die nach den Vorschriften über die vollständige Zusammenfassung der Jahresabschlüsse verbundener Unternehmen (Vollkonsolidierung) in den Konzernabschluss eines Mutterunternehmens gemäß </w:t>
            </w:r>
            <w:hyperlink r:id="rId5" w:tgtFrame="_blank" w:history="1">
              <w:r w:rsidRPr="001B3879">
                <w:rPr>
                  <w:rStyle w:val="Hyperlink"/>
                  <w:rFonts w:ascii="Arial" w:hAnsi="Arial" w:cs="Arial"/>
                  <w:sz w:val="22"/>
                  <w:szCs w:val="22"/>
                  <w:highlight w:val="green"/>
                </w:rPr>
                <w:t>§ 244 UGB</w:t>
              </w:r>
            </w:hyperlink>
            <w:r w:rsidRPr="001B3879">
              <w:rPr>
                <w:rStyle w:val="normal4"/>
                <w:highlight w:val="green"/>
              </w:rPr>
              <w:t xml:space="preserve"> einzubeziehen sind, das als oberstes Mutterunternehmen den am weitest gehenden Konzernabschluss gemäß </w:t>
            </w:r>
            <w:hyperlink r:id="rId6" w:tgtFrame="_blank" w:history="1">
              <w:r w:rsidRPr="001B3879">
                <w:rPr>
                  <w:rStyle w:val="Hyperlink"/>
                  <w:rFonts w:ascii="Arial" w:hAnsi="Arial" w:cs="Arial"/>
                  <w:sz w:val="22"/>
                  <w:szCs w:val="22"/>
                  <w:highlight w:val="green"/>
                </w:rPr>
                <w:t>§§ 244 bis 267 UGB</w:t>
              </w:r>
            </w:hyperlink>
            <w:r w:rsidRPr="001B3879">
              <w:rPr>
                <w:rStyle w:val="normal4"/>
                <w:highlight w:val="green"/>
              </w:rPr>
              <w:t xml:space="preserve"> aufzustellen hat, auch wenn die Aufstellung unterbleibt. Dies gilt sinngemäß, wenn das oberste Mutterunternehmen seinen Sitz im Ausland hat. Tochterunternehmen, die gemäß </w:t>
            </w:r>
            <w:hyperlink r:id="rId7" w:tgtFrame="_blank" w:history="1">
              <w:r w:rsidRPr="001B3879">
                <w:rPr>
                  <w:rStyle w:val="Hyperlink"/>
                  <w:rFonts w:ascii="Arial" w:hAnsi="Arial" w:cs="Arial"/>
                  <w:sz w:val="22"/>
                  <w:szCs w:val="22"/>
                  <w:highlight w:val="green"/>
                </w:rPr>
                <w:t>§ 249 UGB</w:t>
              </w:r>
            </w:hyperlink>
            <w:r w:rsidRPr="001B3879">
              <w:rPr>
                <w:rStyle w:val="normal4"/>
                <w:highlight w:val="green"/>
              </w:rPr>
              <w:t> nicht einbezogen werden, sind ebenfalls verbundene Unternehmen.</w:t>
            </w:r>
            <w:r w:rsidRPr="001B3879">
              <w:rPr>
                <w:rStyle w:val="normal4"/>
              </w:rPr>
              <w:t>] [</w:t>
            </w:r>
            <w:r w:rsidRPr="001B3879">
              <w:rPr>
                <w:rStyle w:val="normal4"/>
                <w:highlight w:val="cyan"/>
              </w:rPr>
              <w:t xml:space="preserve">Die in der </w:t>
            </w:r>
            <w:r w:rsidRPr="001B3879">
              <w:rPr>
                <w:rStyle w:val="normal4"/>
                <w:highlight w:val="lightGray"/>
              </w:rPr>
              <w:t>Anlage ./1.10</w:t>
            </w:r>
            <w:r w:rsidRPr="001B3879">
              <w:rPr>
                <w:rStyle w:val="normal4"/>
                <w:highlight w:val="cyan"/>
              </w:rPr>
              <w:t xml:space="preserve"> aufgezählten Gesellschaften der Unternehmensgruppe des Auftraggebers.</w:t>
            </w:r>
            <w:r w:rsidRPr="001B3879">
              <w:rPr>
                <w:rStyle w:val="normal4"/>
              </w:rPr>
              <w:t>]</w:t>
            </w:r>
          </w:p>
        </w:tc>
      </w:tr>
      <w:tr w:rsidR="00F42D7E" w:rsidRPr="001B3879" w14:paraId="19767981" w14:textId="77777777" w:rsidTr="00F42D7E">
        <w:tc>
          <w:tcPr>
            <w:tcW w:w="9498" w:type="dxa"/>
          </w:tcPr>
          <w:p w14:paraId="23B20104" w14:textId="136736AD" w:rsidR="00F42D7E" w:rsidRPr="001B3879" w:rsidRDefault="00F42D7E" w:rsidP="001B3879">
            <w:pPr>
              <w:pStyle w:val="Listenabsatz"/>
              <w:numPr>
                <w:ilvl w:val="1"/>
                <w:numId w:val="1"/>
              </w:numPr>
              <w:ind w:left="661" w:hanging="661"/>
              <w:rPr>
                <w:rFonts w:ascii="Arial" w:eastAsia="Times New Roman" w:hAnsi="Arial" w:cs="Arial"/>
                <w:sz w:val="22"/>
                <w:szCs w:val="22"/>
              </w:rPr>
            </w:pPr>
            <w:r w:rsidRPr="001B3879">
              <w:rPr>
                <w:rFonts w:ascii="Arial" w:eastAsia="Times New Roman" w:hAnsi="Arial" w:cs="Arial"/>
                <w:sz w:val="22"/>
                <w:szCs w:val="22"/>
              </w:rPr>
              <w:t>Vereinbarung: gegenständliche vertragliche Regelung zwischen den Parteien, einschließlich sämtlicher Beilagen und Dokumente und dergleichen, auf welche ausdrücklich verwiesen wird.</w:t>
            </w:r>
          </w:p>
        </w:tc>
      </w:tr>
      <w:tr w:rsidR="00F42D7E" w:rsidRPr="001B3879" w14:paraId="3C7C8139" w14:textId="77777777" w:rsidTr="00F42D7E">
        <w:tc>
          <w:tcPr>
            <w:tcW w:w="9498" w:type="dxa"/>
          </w:tcPr>
          <w:p w14:paraId="11AE7C62" w14:textId="02DCE86D" w:rsidR="00F42D7E" w:rsidRPr="001B3879" w:rsidRDefault="00F42D7E" w:rsidP="001B3879">
            <w:pPr>
              <w:pStyle w:val="Listenabsatz"/>
              <w:numPr>
                <w:ilvl w:val="0"/>
                <w:numId w:val="2"/>
              </w:numPr>
              <w:jc w:val="center"/>
              <w:rPr>
                <w:rFonts w:ascii="Arial" w:eastAsia="Times New Roman" w:hAnsi="Arial" w:cs="Arial"/>
                <w:sz w:val="22"/>
                <w:szCs w:val="22"/>
              </w:rPr>
            </w:pPr>
            <w:r w:rsidRPr="001B3879">
              <w:rPr>
                <w:rStyle w:val="ce840541"/>
              </w:rPr>
              <w:t>GEGENSTAND</w:t>
            </w:r>
            <w:r w:rsidRPr="001B3879">
              <w:rPr>
                <w:rStyle w:val="ce840541"/>
                <w:rFonts w:eastAsia="Times New Roman"/>
                <w:vanish/>
              </w:rPr>
              <w:t xml:space="preserve"> DER VEREINBARUNG</w:t>
            </w:r>
          </w:p>
        </w:tc>
      </w:tr>
      <w:tr w:rsidR="00F42D7E" w:rsidRPr="001B3879" w14:paraId="22096636" w14:textId="77777777" w:rsidTr="00F42D7E">
        <w:tc>
          <w:tcPr>
            <w:tcW w:w="9498" w:type="dxa"/>
          </w:tcPr>
          <w:p w14:paraId="569D830B" w14:textId="0961B543" w:rsidR="00F42D7E" w:rsidRPr="001B3879" w:rsidRDefault="00F42D7E" w:rsidP="001B3879">
            <w:pPr>
              <w:pStyle w:val="Listenabsatz"/>
              <w:numPr>
                <w:ilvl w:val="1"/>
                <w:numId w:val="2"/>
              </w:numPr>
              <w:ind w:left="661" w:hanging="661"/>
              <w:rPr>
                <w:rStyle w:val="ce840541"/>
              </w:rPr>
            </w:pPr>
            <w:r w:rsidRPr="001B3879">
              <w:rPr>
                <w:rFonts w:ascii="Arial" w:eastAsia="Times New Roman" w:hAnsi="Arial" w:cs="Arial"/>
                <w:sz w:val="22"/>
                <w:szCs w:val="22"/>
              </w:rPr>
              <w:t xml:space="preserve">AAA und BBB sind Unternehmen, welche Produkte und Dienstleistungen im Gesundheitsbereich entwickeln und innerhalb der EU vertreiben. </w:t>
            </w:r>
          </w:p>
        </w:tc>
      </w:tr>
      <w:tr w:rsidR="00F42D7E" w:rsidRPr="001B3879" w14:paraId="7B8A30F3" w14:textId="77777777" w:rsidTr="00F42D7E">
        <w:tc>
          <w:tcPr>
            <w:tcW w:w="9498" w:type="dxa"/>
          </w:tcPr>
          <w:p w14:paraId="7089947C" w14:textId="64D7176E" w:rsidR="00F42D7E" w:rsidRPr="001B3879" w:rsidRDefault="00F42D7E" w:rsidP="001B3879">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t xml:space="preserve">Die Parteien beabsichtigen, im Rahmen gegenständlicher Vereinbarung gemeinsam auf Basis jeweils von den Parteien bei den Betroffenen (mit deren ausdrücklicher Einwilligung </w:t>
            </w:r>
            <w:r w:rsidRPr="001B3879">
              <w:rPr>
                <w:rFonts w:ascii="Arial" w:eastAsia="Times New Roman" w:hAnsi="Arial" w:cs="Arial"/>
                <w:sz w:val="22"/>
                <w:szCs w:val="22"/>
                <w:highlight w:val="red"/>
              </w:rPr>
              <w:t>gemäß Punkt</w:t>
            </w:r>
            <w:r>
              <w:rPr>
                <w:rFonts w:ascii="Arial" w:eastAsia="Times New Roman" w:hAnsi="Arial" w:cs="Arial"/>
                <w:sz w:val="22"/>
                <w:szCs w:val="22"/>
                <w:highlight w:val="red"/>
              </w:rPr>
              <w:t> </w:t>
            </w:r>
            <w:r w:rsidRPr="00FD6A27">
              <w:rPr>
                <w:rFonts w:ascii="Arial" w:eastAsia="Times New Roman" w:hAnsi="Arial" w:cs="Arial"/>
                <w:sz w:val="22"/>
                <w:szCs w:val="22"/>
                <w:highlight w:val="red"/>
              </w:rPr>
              <w:t>3</w:t>
            </w:r>
            <w:r w:rsidRPr="001B3879">
              <w:rPr>
                <w:rFonts w:ascii="Arial" w:eastAsia="Times New Roman" w:hAnsi="Arial" w:cs="Arial"/>
                <w:sz w:val="22"/>
                <w:szCs w:val="22"/>
              </w:rPr>
              <w:t>) erhobenen Daten eine [</w:t>
            </w:r>
            <w:r w:rsidRPr="001B3879">
              <w:rPr>
                <w:rFonts w:ascii="Arial" w:eastAsia="Times New Roman" w:hAnsi="Arial" w:cs="Arial"/>
                <w:sz w:val="22"/>
                <w:szCs w:val="22"/>
                <w:highlight w:val="yellow"/>
              </w:rPr>
              <w:t>*Gesundheitsdatenbank*</w:t>
            </w:r>
            <w:r w:rsidRPr="001B3879">
              <w:rPr>
                <w:rFonts w:ascii="Arial" w:eastAsia="Times New Roman" w:hAnsi="Arial" w:cs="Arial"/>
                <w:sz w:val="22"/>
                <w:szCs w:val="22"/>
              </w:rPr>
              <w:t xml:space="preserve">] zu erstellen (siehe </w:t>
            </w:r>
            <w:r w:rsidRPr="001B3879">
              <w:rPr>
                <w:rFonts w:ascii="Arial" w:eastAsia="Times New Roman" w:hAnsi="Arial" w:cs="Arial"/>
                <w:sz w:val="22"/>
                <w:szCs w:val="22"/>
                <w:highlight w:val="red"/>
              </w:rPr>
              <w:t>Punkt 2.3</w:t>
            </w:r>
            <w:r w:rsidRPr="001B3879">
              <w:rPr>
                <w:rFonts w:ascii="Arial" w:eastAsia="Times New Roman" w:hAnsi="Arial" w:cs="Arial"/>
                <w:sz w:val="22"/>
                <w:szCs w:val="22"/>
              </w:rPr>
              <w:t xml:space="preserve"> und </w:t>
            </w:r>
            <w:r w:rsidRPr="001B3879">
              <w:rPr>
                <w:rFonts w:ascii="Arial" w:eastAsia="Times New Roman" w:hAnsi="Arial" w:cs="Arial"/>
                <w:sz w:val="22"/>
                <w:szCs w:val="22"/>
                <w:highlight w:val="red"/>
              </w:rPr>
              <w:t>Punkt </w:t>
            </w:r>
            <w:r w:rsidRPr="00FA5284">
              <w:rPr>
                <w:rFonts w:ascii="Arial" w:eastAsia="Times New Roman" w:hAnsi="Arial" w:cs="Arial"/>
                <w:sz w:val="22"/>
                <w:szCs w:val="22"/>
                <w:highlight w:val="red"/>
              </w:rPr>
              <w:t>4</w:t>
            </w:r>
            <w:r w:rsidRPr="001B3879">
              <w:rPr>
                <w:rFonts w:ascii="Arial" w:eastAsia="Times New Roman" w:hAnsi="Arial" w:cs="Arial"/>
                <w:sz w:val="22"/>
                <w:szCs w:val="22"/>
              </w:rPr>
              <w:t xml:space="preserve">). Die Gesundheitsdatenbank soll in weiterer Folge – hinsichtlich der Betroffenen gänzlich anonymisiert (siehe </w:t>
            </w:r>
            <w:r w:rsidRPr="001B3879">
              <w:rPr>
                <w:rFonts w:ascii="Arial" w:eastAsia="Times New Roman" w:hAnsi="Arial" w:cs="Arial"/>
                <w:sz w:val="22"/>
                <w:szCs w:val="22"/>
                <w:highlight w:val="red"/>
              </w:rPr>
              <w:t>Punkt 2.4</w:t>
            </w:r>
            <w:r w:rsidRPr="001B3879">
              <w:rPr>
                <w:rFonts w:ascii="Arial" w:eastAsia="Times New Roman" w:hAnsi="Arial" w:cs="Arial"/>
                <w:sz w:val="22"/>
                <w:szCs w:val="22"/>
              </w:rPr>
              <w:t xml:space="preserve">) – im Namen und nach außen auf Rechnung von AAA (zur Monetarisierung und zum internen Ausgleich siehe </w:t>
            </w:r>
            <w:r w:rsidRPr="001B3879">
              <w:rPr>
                <w:rFonts w:ascii="Arial" w:hAnsi="Arial" w:cs="Arial"/>
                <w:sz w:val="22"/>
                <w:szCs w:val="22"/>
                <w:highlight w:val="red"/>
              </w:rPr>
              <w:t>Punkt </w:t>
            </w:r>
            <w:r>
              <w:rPr>
                <w:rFonts w:ascii="Arial" w:hAnsi="Arial" w:cs="Arial"/>
                <w:sz w:val="22"/>
                <w:szCs w:val="22"/>
                <w:highlight w:val="red"/>
              </w:rPr>
              <w:t>5</w:t>
            </w:r>
            <w:r w:rsidRPr="001B3879">
              <w:rPr>
                <w:rFonts w:ascii="Arial" w:eastAsia="Times New Roman" w:hAnsi="Arial" w:cs="Arial"/>
                <w:sz w:val="22"/>
                <w:szCs w:val="22"/>
              </w:rPr>
              <w:t xml:space="preserve">) als Online-Gesundheitsdatenbank im Gesundheitswesen in der EU vermarktet werden (siehe </w:t>
            </w:r>
            <w:r w:rsidRPr="001B3879">
              <w:rPr>
                <w:rFonts w:ascii="Arial" w:eastAsia="Times New Roman" w:hAnsi="Arial" w:cs="Arial"/>
                <w:sz w:val="22"/>
                <w:szCs w:val="22"/>
                <w:highlight w:val="red"/>
              </w:rPr>
              <w:t>Punkt 2.5</w:t>
            </w:r>
            <w:r w:rsidRPr="001B3879">
              <w:rPr>
                <w:rFonts w:ascii="Arial" w:eastAsia="Times New Roman" w:hAnsi="Arial" w:cs="Arial"/>
                <w:sz w:val="22"/>
                <w:szCs w:val="22"/>
              </w:rPr>
              <w:t xml:space="preserve">). </w:t>
            </w:r>
          </w:p>
        </w:tc>
      </w:tr>
      <w:tr w:rsidR="00F42D7E" w:rsidRPr="001B3879" w14:paraId="6F949B9A" w14:textId="77777777" w:rsidTr="00F42D7E">
        <w:tc>
          <w:tcPr>
            <w:tcW w:w="9498" w:type="dxa"/>
          </w:tcPr>
          <w:p w14:paraId="72B079DD" w14:textId="24A32CC4" w:rsidR="00F42D7E" w:rsidRPr="001B3879" w:rsidRDefault="00F42D7E" w:rsidP="001B3879">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t>Der Projektplan (einschließlich Zeitplan und jeweilige</w:t>
            </w:r>
            <w:r>
              <w:rPr>
                <w:rFonts w:ascii="Arial" w:eastAsia="Times New Roman" w:hAnsi="Arial" w:cs="Arial"/>
                <w:sz w:val="22"/>
                <w:szCs w:val="22"/>
              </w:rPr>
              <w:t>r</w:t>
            </w:r>
            <w:r w:rsidRPr="001B3879">
              <w:rPr>
                <w:rFonts w:ascii="Arial" w:eastAsia="Times New Roman" w:hAnsi="Arial" w:cs="Arial"/>
                <w:sz w:val="22"/>
                <w:szCs w:val="22"/>
              </w:rPr>
              <w:t xml:space="preserve"> Leistungen der jeweiligen Partei und d</w:t>
            </w:r>
            <w:r>
              <w:rPr>
                <w:rFonts w:ascii="Arial" w:eastAsia="Times New Roman" w:hAnsi="Arial" w:cs="Arial"/>
                <w:sz w:val="22"/>
                <w:szCs w:val="22"/>
              </w:rPr>
              <w:t>er</w:t>
            </w:r>
            <w:r w:rsidRPr="001B3879">
              <w:rPr>
                <w:rFonts w:ascii="Arial" w:eastAsia="Times New Roman" w:hAnsi="Arial" w:cs="Arial"/>
                <w:sz w:val="22"/>
                <w:szCs w:val="22"/>
              </w:rPr>
              <w:t xml:space="preserve"> wechselseitigen Abhängigkeiten der Leistungen) zur Erhebung der Daten (samt deren Spezifikation, sowohl als Rohdaten als auch zur Überführung in die Datenbank) und der Erstellung der Gesundheitsdatenbank (samt deren technische Beschreibung) ist in </w:t>
            </w:r>
            <w:r w:rsidRPr="001B3879">
              <w:rPr>
                <w:rFonts w:ascii="Arial" w:eastAsia="Times New Roman" w:hAnsi="Arial" w:cs="Arial"/>
                <w:sz w:val="22"/>
                <w:szCs w:val="22"/>
                <w:highlight w:val="darkGray"/>
              </w:rPr>
              <w:t>Anlage ./2.3</w:t>
            </w:r>
            <w:r w:rsidRPr="001B3879">
              <w:rPr>
                <w:rFonts w:ascii="Arial" w:eastAsia="Times New Roman" w:hAnsi="Arial" w:cs="Arial"/>
                <w:sz w:val="22"/>
                <w:szCs w:val="22"/>
              </w:rPr>
              <w:t xml:space="preserve"> zwischen den Parteien vereinbart. Dort </w:t>
            </w:r>
            <w:r>
              <w:rPr>
                <w:rFonts w:ascii="Arial" w:eastAsia="Times New Roman" w:hAnsi="Arial" w:cs="Arial"/>
                <w:sz w:val="22"/>
                <w:szCs w:val="22"/>
              </w:rPr>
              <w:t>sind</w:t>
            </w:r>
            <w:r w:rsidRPr="001B3879">
              <w:rPr>
                <w:rFonts w:ascii="Arial" w:eastAsia="Times New Roman" w:hAnsi="Arial" w:cs="Arial"/>
                <w:sz w:val="22"/>
                <w:szCs w:val="22"/>
              </w:rPr>
              <w:t xml:space="preserve"> auch der Aktualisierungsprozess bzw. der Erweiterungsprozess der Rohdaten durch die Parteien festgelegt.</w:t>
            </w:r>
          </w:p>
        </w:tc>
      </w:tr>
      <w:tr w:rsidR="00F42D7E" w:rsidRPr="001B3879" w14:paraId="5A6A9416" w14:textId="77777777" w:rsidTr="00F42D7E">
        <w:tc>
          <w:tcPr>
            <w:tcW w:w="9498" w:type="dxa"/>
          </w:tcPr>
          <w:p w14:paraId="6B0BC471" w14:textId="6A7B352A" w:rsidR="00F42D7E" w:rsidRPr="001B3879" w:rsidRDefault="00F42D7E" w:rsidP="001B3879">
            <w:pPr>
              <w:pStyle w:val="Listenabsatz"/>
              <w:numPr>
                <w:ilvl w:val="1"/>
                <w:numId w:val="2"/>
              </w:numPr>
              <w:ind w:left="661" w:hanging="661"/>
              <w:rPr>
                <w:rFonts w:ascii="Arial" w:eastAsia="Times New Roman" w:hAnsi="Arial" w:cs="Arial"/>
                <w:sz w:val="22"/>
                <w:szCs w:val="22"/>
              </w:rPr>
            </w:pPr>
            <w:r w:rsidRPr="001B3879">
              <w:rPr>
                <w:rFonts w:ascii="Arial" w:hAnsi="Arial" w:cs="Arial"/>
                <w:sz w:val="22"/>
                <w:szCs w:val="22"/>
              </w:rPr>
              <w:t>AAA führt die Gesundheitsdatenbank initial und nach Aktualisierungen bzw. Erweiterungen laufend in eine Online-Gesundheitsdatenbank über, wobei im Rahmen der Überführung eine Anonymisierung der Daten gemäß dem vereinbarten Prozess (</w:t>
            </w:r>
            <w:r w:rsidRPr="001B3879">
              <w:rPr>
                <w:rFonts w:ascii="Arial" w:eastAsia="Times New Roman" w:hAnsi="Arial" w:cs="Arial"/>
                <w:sz w:val="22"/>
                <w:szCs w:val="22"/>
                <w:highlight w:val="darkGray"/>
              </w:rPr>
              <w:t>Anlage ./2.4</w:t>
            </w:r>
            <w:r w:rsidRPr="001B3879">
              <w:rPr>
                <w:rFonts w:ascii="Arial" w:eastAsia="Times New Roman" w:hAnsi="Arial" w:cs="Arial"/>
                <w:sz w:val="22"/>
                <w:szCs w:val="22"/>
              </w:rPr>
              <w:t xml:space="preserve">) </w:t>
            </w:r>
            <w:r w:rsidRPr="001B3879">
              <w:rPr>
                <w:rFonts w:ascii="Arial" w:hAnsi="Arial" w:cs="Arial"/>
                <w:sz w:val="22"/>
                <w:szCs w:val="22"/>
              </w:rPr>
              <w:t xml:space="preserve">durch AAA erfolgt. AAA garantiert den Prozess streng einzuhalten. Sollte trotz Einhaltung des Prozesses durch AAA von Behörden oder im </w:t>
            </w:r>
            <w:r w:rsidRPr="00D25E37">
              <w:rPr>
                <w:rFonts w:ascii="Arial" w:hAnsi="Arial" w:cs="Arial"/>
                <w:sz w:val="22"/>
                <w:szCs w:val="22"/>
              </w:rPr>
              <w:t>Rahmen eines SV-Audit gemäß</w:t>
            </w:r>
            <w:r>
              <w:rPr>
                <w:rFonts w:ascii="Arial" w:hAnsi="Arial" w:cs="Arial"/>
                <w:sz w:val="22"/>
                <w:szCs w:val="22"/>
              </w:rPr>
              <w:t xml:space="preserve"> </w:t>
            </w:r>
            <w:r w:rsidRPr="00D25E37">
              <w:rPr>
                <w:rFonts w:ascii="Arial" w:hAnsi="Arial" w:cs="Arial"/>
                <w:sz w:val="22"/>
                <w:szCs w:val="22"/>
                <w:highlight w:val="red"/>
              </w:rPr>
              <w:t>Punkt 9</w:t>
            </w:r>
            <w:r w:rsidRPr="001B3879">
              <w:rPr>
                <w:rFonts w:ascii="Arial" w:hAnsi="Arial" w:cs="Arial"/>
                <w:sz w:val="22"/>
                <w:szCs w:val="22"/>
              </w:rPr>
              <w:t xml:space="preserve"> festgestellt werden, dass der Prozess nicht geeignet ist, anonyme Daten zu generieren, werden die Parteien umgehend den Prozess anpassen, um die Anonymität sicherzustellen. Die Parteien werden die Kosten und sonstigen Schäden (einschließlich etwaiger Ersatzansprüche, Schäden und/oder Vertretungskosten udgl) zu gleichen Teilen tragen bzw. intern auf erste Aufforderung ausgleichen.</w:t>
            </w:r>
          </w:p>
        </w:tc>
      </w:tr>
      <w:tr w:rsidR="00F42D7E" w:rsidRPr="001B3879" w14:paraId="7056215D" w14:textId="77777777" w:rsidTr="00F42D7E">
        <w:tc>
          <w:tcPr>
            <w:tcW w:w="9498" w:type="dxa"/>
          </w:tcPr>
          <w:p w14:paraId="0AA79F3D" w14:textId="220D5AE1" w:rsidR="00F42D7E" w:rsidRPr="001B3879" w:rsidRDefault="00F42D7E" w:rsidP="001B3879">
            <w:pPr>
              <w:pStyle w:val="Listenabsatz"/>
              <w:numPr>
                <w:ilvl w:val="1"/>
                <w:numId w:val="2"/>
              </w:numPr>
              <w:ind w:left="661" w:hanging="661"/>
              <w:rPr>
                <w:rFonts w:ascii="Arial" w:hAnsi="Arial" w:cs="Arial"/>
                <w:sz w:val="22"/>
                <w:szCs w:val="22"/>
              </w:rPr>
            </w:pPr>
            <w:r w:rsidRPr="001B3879">
              <w:rPr>
                <w:rFonts w:ascii="Arial" w:hAnsi="Arial" w:cs="Arial"/>
                <w:sz w:val="22"/>
                <w:szCs w:val="22"/>
              </w:rPr>
              <w:lastRenderedPageBreak/>
              <w:t>Die Online-Gesundheitsdatenbank soll ausschließlich von AAA auf Basis des von den Parteien gemeinsam entwickelten Vermarktungskonzepts einschließlich der gemeinsam entwickelten Nutzungsvereinbarungen (EULA) der Online-Gesundheitsdatenbank (</w:t>
            </w:r>
            <w:r w:rsidRPr="001B3879">
              <w:rPr>
                <w:rFonts w:ascii="Arial" w:eastAsia="Times New Roman" w:hAnsi="Arial" w:cs="Arial"/>
                <w:sz w:val="22"/>
                <w:szCs w:val="22"/>
                <w:highlight w:val="darkGray"/>
              </w:rPr>
              <w:t>Anlage ./2.5</w:t>
            </w:r>
            <w:r w:rsidRPr="001B3879">
              <w:rPr>
                <w:rFonts w:ascii="Arial" w:eastAsia="Times New Roman" w:hAnsi="Arial" w:cs="Arial"/>
                <w:sz w:val="22"/>
                <w:szCs w:val="22"/>
              </w:rPr>
              <w:t xml:space="preserve">) </w:t>
            </w:r>
            <w:r w:rsidRPr="001B3879">
              <w:rPr>
                <w:rFonts w:ascii="Arial" w:hAnsi="Arial" w:cs="Arial"/>
                <w:sz w:val="22"/>
                <w:szCs w:val="22"/>
              </w:rPr>
              <w:t xml:space="preserve">im Namen von AAA nach Kräften in der EU vertrieben werden, wobei AAA berechtigt ist, verbundene Unternehmen im Rahmen des Vertriebs als Vermittler heranzuziehen. Der Aufwand von AAA (und etwaigen verbundenen Unternehmen) ist im Rahmen der Zahlungsregelung gemäß </w:t>
            </w:r>
            <w:r w:rsidRPr="001B3879">
              <w:rPr>
                <w:rFonts w:ascii="Arial" w:hAnsi="Arial" w:cs="Arial"/>
                <w:sz w:val="22"/>
                <w:szCs w:val="22"/>
                <w:highlight w:val="red"/>
              </w:rPr>
              <w:t>Punkt </w:t>
            </w:r>
            <w:r>
              <w:rPr>
                <w:rFonts w:ascii="Arial" w:hAnsi="Arial" w:cs="Arial"/>
                <w:sz w:val="22"/>
                <w:szCs w:val="22"/>
                <w:highlight w:val="red"/>
              </w:rPr>
              <w:t>5</w:t>
            </w:r>
            <w:r w:rsidRPr="001B3879">
              <w:rPr>
                <w:rFonts w:ascii="Arial" w:hAnsi="Arial" w:cs="Arial"/>
                <w:sz w:val="22"/>
                <w:szCs w:val="22"/>
              </w:rPr>
              <w:t xml:space="preserve"> bereits vollständig berücksichtigt. Eine weitergehende Verwertung der Gesundheitsdatenbank bzw. der Online-Gesundheitsdatenbank ist den Parteien untersagt, soweit in der Vereinbarung nicht ausdrücklich anders vereinbart. Soweit AAA die in der </w:t>
            </w:r>
            <w:r w:rsidRPr="001B3879">
              <w:rPr>
                <w:rFonts w:ascii="Arial" w:eastAsia="Times New Roman" w:hAnsi="Arial" w:cs="Arial"/>
                <w:sz w:val="22"/>
                <w:szCs w:val="22"/>
                <w:highlight w:val="darkGray"/>
              </w:rPr>
              <w:t>Anlage ./2.5</w:t>
            </w:r>
            <w:r w:rsidRPr="001B3879">
              <w:rPr>
                <w:rFonts w:ascii="Arial" w:eastAsia="Times New Roman" w:hAnsi="Arial" w:cs="Arial"/>
                <w:sz w:val="22"/>
                <w:szCs w:val="22"/>
              </w:rPr>
              <w:t xml:space="preserve"> festgelegten jährlichen Vertriebsziele nicht erreicht, ist BBB berechtigt, schriftlich AAA mitzuteilen, dass die Exklusivität entfällt und BBB und/ oder Verbundene Unternehmen als Vermittler tätig werden, wobei diesen dann – ungeachtet der Zahlungsregelung gemäß </w:t>
            </w:r>
            <w:r w:rsidRPr="001B3879">
              <w:rPr>
                <w:rFonts w:ascii="Arial" w:hAnsi="Arial" w:cs="Arial"/>
                <w:sz w:val="22"/>
                <w:szCs w:val="22"/>
                <w:highlight w:val="red"/>
              </w:rPr>
              <w:t>Punkt </w:t>
            </w:r>
            <w:r>
              <w:rPr>
                <w:rFonts w:ascii="Arial" w:hAnsi="Arial" w:cs="Arial"/>
                <w:sz w:val="22"/>
                <w:szCs w:val="22"/>
                <w:highlight w:val="red"/>
              </w:rPr>
              <w:t>5</w:t>
            </w:r>
            <w:r w:rsidRPr="001B3879">
              <w:rPr>
                <w:rFonts w:ascii="Arial" w:hAnsi="Arial" w:cs="Arial"/>
                <w:sz w:val="22"/>
                <w:szCs w:val="22"/>
              </w:rPr>
              <w:t xml:space="preserve"> </w:t>
            </w:r>
            <w:r w:rsidRPr="001B3879">
              <w:rPr>
                <w:rFonts w:ascii="Arial" w:eastAsia="Times New Roman" w:hAnsi="Arial" w:cs="Arial"/>
                <w:sz w:val="22"/>
                <w:szCs w:val="22"/>
              </w:rPr>
              <w:t xml:space="preserve">– eine (dort wertgesicherte) Vermittlungsprovision, wie in </w:t>
            </w:r>
            <w:r w:rsidRPr="001B3879">
              <w:rPr>
                <w:rFonts w:ascii="Arial" w:hAnsi="Arial" w:cs="Arial"/>
                <w:sz w:val="22"/>
                <w:szCs w:val="22"/>
              </w:rPr>
              <w:t xml:space="preserve">der </w:t>
            </w:r>
            <w:r w:rsidRPr="001B3879">
              <w:rPr>
                <w:rFonts w:ascii="Arial" w:eastAsia="Times New Roman" w:hAnsi="Arial" w:cs="Arial"/>
                <w:sz w:val="22"/>
                <w:szCs w:val="22"/>
                <w:highlight w:val="darkGray"/>
              </w:rPr>
              <w:t>Anlage ./2.5</w:t>
            </w:r>
            <w:r w:rsidRPr="001B3879">
              <w:rPr>
                <w:rFonts w:ascii="Arial" w:eastAsia="Times New Roman" w:hAnsi="Arial" w:cs="Arial"/>
                <w:sz w:val="22"/>
                <w:szCs w:val="22"/>
              </w:rPr>
              <w:t xml:space="preserve"> festgelegt, zusteh</w:t>
            </w:r>
            <w:r>
              <w:rPr>
                <w:rFonts w:ascii="Arial" w:eastAsia="Times New Roman" w:hAnsi="Arial" w:cs="Arial"/>
                <w:sz w:val="22"/>
                <w:szCs w:val="22"/>
              </w:rPr>
              <w:t>t</w:t>
            </w:r>
            <w:r w:rsidRPr="001B3879">
              <w:rPr>
                <w:rFonts w:ascii="Arial" w:eastAsia="Times New Roman" w:hAnsi="Arial" w:cs="Arial"/>
                <w:sz w:val="22"/>
                <w:szCs w:val="22"/>
              </w:rPr>
              <w:t>.</w:t>
            </w:r>
          </w:p>
        </w:tc>
      </w:tr>
      <w:tr w:rsidR="00F42D7E" w:rsidRPr="001B3879" w14:paraId="31EAC257" w14:textId="77777777" w:rsidTr="00F42D7E">
        <w:tc>
          <w:tcPr>
            <w:tcW w:w="9498" w:type="dxa"/>
          </w:tcPr>
          <w:p w14:paraId="6441F027" w14:textId="0E14AF0C" w:rsidR="00F42D7E" w:rsidRPr="000B0ACC" w:rsidRDefault="00F42D7E" w:rsidP="000B0ACC">
            <w:pPr>
              <w:pStyle w:val="Listenabsatz"/>
              <w:numPr>
                <w:ilvl w:val="0"/>
                <w:numId w:val="2"/>
              </w:numPr>
              <w:jc w:val="center"/>
              <w:rPr>
                <w:rFonts w:ascii="Arial" w:hAnsi="Arial" w:cs="Arial"/>
                <w:sz w:val="22"/>
                <w:szCs w:val="22"/>
              </w:rPr>
            </w:pPr>
            <w:r w:rsidRPr="001B3879">
              <w:rPr>
                <w:rStyle w:val="ce840541"/>
              </w:rPr>
              <w:t>VERARBEITUNG DER DATEN DER BETROFFENEN IN GEMEINSAMER VERANTWORTLICHKEIT</w:t>
            </w:r>
          </w:p>
        </w:tc>
      </w:tr>
      <w:tr w:rsidR="00F42D7E" w:rsidRPr="001B3879" w14:paraId="6F1CF769" w14:textId="77777777" w:rsidTr="00F42D7E">
        <w:tc>
          <w:tcPr>
            <w:tcW w:w="9498" w:type="dxa"/>
          </w:tcPr>
          <w:p w14:paraId="4667B657" w14:textId="15A8E799" w:rsidR="00F42D7E" w:rsidRPr="001B3879" w:rsidRDefault="00F42D7E" w:rsidP="000B0ACC">
            <w:pPr>
              <w:pStyle w:val="Listenabsatz"/>
              <w:numPr>
                <w:ilvl w:val="1"/>
                <w:numId w:val="2"/>
              </w:numPr>
              <w:ind w:left="661" w:hanging="661"/>
              <w:rPr>
                <w:rStyle w:val="ce840541"/>
              </w:rPr>
            </w:pPr>
            <w:r w:rsidRPr="001B3879">
              <w:rPr>
                <w:rFonts w:ascii="Arial" w:hAnsi="Arial" w:cs="Arial"/>
                <w:sz w:val="22"/>
                <w:szCs w:val="22"/>
              </w:rPr>
              <w:t>Den Parteien ist bewusst, dass nach dem Datenschutzrecht (insb Datenschutz-Grundverordnung – DSGVO) die Verarbeitung von Gesundheitsdaten von natürlichen Personen – also die Daten der Betroffenen – grundsätzlich untersagt ist. Diese Untersagung gilt nach dem Rechtsrahmen aber insbesondere dann nicht, wenn die Betroffenen in die Verarbeitung der Daten für einen oder mehrere festgelegte Zwecke ausdrücklich eingewilligt haben.</w:t>
            </w:r>
          </w:p>
        </w:tc>
      </w:tr>
      <w:tr w:rsidR="00F42D7E" w:rsidRPr="001B3879" w14:paraId="705EBC28" w14:textId="77777777" w:rsidTr="00F42D7E">
        <w:tc>
          <w:tcPr>
            <w:tcW w:w="9498" w:type="dxa"/>
          </w:tcPr>
          <w:p w14:paraId="435212FF" w14:textId="55DEA74A" w:rsidR="00F42D7E" w:rsidRPr="001B3879" w:rsidRDefault="00F42D7E" w:rsidP="000B0ACC">
            <w:pPr>
              <w:pStyle w:val="Listenabsatz"/>
              <w:numPr>
                <w:ilvl w:val="1"/>
                <w:numId w:val="2"/>
              </w:numPr>
              <w:ind w:left="661" w:hanging="661"/>
              <w:rPr>
                <w:rFonts w:ascii="Arial" w:hAnsi="Arial" w:cs="Arial"/>
                <w:sz w:val="22"/>
                <w:szCs w:val="22"/>
              </w:rPr>
            </w:pPr>
            <w:r w:rsidRPr="001B3879">
              <w:rPr>
                <w:rFonts w:ascii="Arial" w:eastAsia="Times New Roman" w:hAnsi="Arial" w:cs="Arial"/>
                <w:sz w:val="22"/>
                <w:szCs w:val="22"/>
              </w:rPr>
              <w:t xml:space="preserve">Die Parteien garantieren sich wechselseitig, die Daten der Betroffenen im Rahmen der Vereinbarung ausschließlich auf Basis einer rechtswirksamen, freiwilligen (siehe </w:t>
            </w:r>
            <w:r w:rsidRPr="001B3879">
              <w:rPr>
                <w:rFonts w:ascii="Arial" w:eastAsia="Times New Roman" w:hAnsi="Arial" w:cs="Arial"/>
                <w:sz w:val="22"/>
                <w:szCs w:val="22"/>
                <w:highlight w:val="red"/>
              </w:rPr>
              <w:t>Punkt 3.5</w:t>
            </w:r>
            <w:r w:rsidRPr="001B3879">
              <w:rPr>
                <w:rFonts w:ascii="Arial" w:eastAsia="Times New Roman" w:hAnsi="Arial" w:cs="Arial"/>
                <w:sz w:val="22"/>
                <w:szCs w:val="22"/>
              </w:rPr>
              <w:t>) und ausdrücklichen Einwilligung der Betroffenen und nach den Vorgaben des anwendbaren Datenschutzrechts zu verarbeiten. Da nach dem Rechtsrahmen die Beweislast für die rechtswirksame Einwilligung für die Verarbeitung bei den Parteien liegt, werden die Parteien die Einwilligung in beweisbarer Form und unter Identitätsfeststellung der Betroffenen einholen und dokumentieren. Erfolgt die Einwilligung durch eine schriftliche Erklärung, die noch andere Sachverhalte betrifft, so muss das Ersuchen um Einwilligung in verständlicher und leicht zugänglicher Form in einer klaren und einfachen Sprache so erfolgen, dass es von den anderen Sachverhalten klar zu unterscheiden ist; Teile der Erklärung sind nämlich nach dem Rechtsrahmen dann nicht verbindlich, wenn sie einen Verstoß gegen das Datenschutzrecht darstellen.</w:t>
            </w:r>
          </w:p>
        </w:tc>
      </w:tr>
      <w:tr w:rsidR="00F42D7E" w:rsidRPr="001B3879" w14:paraId="138B7E45" w14:textId="77777777" w:rsidTr="00F42D7E">
        <w:tc>
          <w:tcPr>
            <w:tcW w:w="9498" w:type="dxa"/>
          </w:tcPr>
          <w:p w14:paraId="3A519A7D" w14:textId="5EFE210E" w:rsidR="00F42D7E" w:rsidRPr="001B3879" w:rsidRDefault="00F42D7E" w:rsidP="000B0ACC">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t xml:space="preserve">Die Einwilligung der Betroffenen hat insbesondere die Erhebung und Verarbeitung der Datenkategorien gemäß </w:t>
            </w:r>
            <w:r w:rsidRPr="001B3879">
              <w:rPr>
                <w:rFonts w:ascii="Arial" w:eastAsia="Times New Roman" w:hAnsi="Arial" w:cs="Arial"/>
                <w:sz w:val="22"/>
                <w:szCs w:val="22"/>
                <w:highlight w:val="red"/>
              </w:rPr>
              <w:t>Punkt 2.3,</w:t>
            </w:r>
            <w:r w:rsidRPr="001B3879">
              <w:rPr>
                <w:rFonts w:ascii="Arial" w:eastAsia="Times New Roman" w:hAnsi="Arial" w:cs="Arial"/>
                <w:sz w:val="22"/>
                <w:szCs w:val="22"/>
              </w:rPr>
              <w:t xml:space="preserve"> zur Verarbeitung durch beide Parteien zur Erstellung der Gesundheitsdatenbank gemäß </w:t>
            </w:r>
            <w:r w:rsidRPr="001B3879">
              <w:rPr>
                <w:rFonts w:ascii="Arial" w:eastAsia="Times New Roman" w:hAnsi="Arial" w:cs="Arial"/>
                <w:sz w:val="22"/>
                <w:szCs w:val="22"/>
                <w:highlight w:val="red"/>
              </w:rPr>
              <w:t>Punkt 2.3</w:t>
            </w:r>
            <w:r w:rsidRPr="001B3879">
              <w:rPr>
                <w:rFonts w:ascii="Arial" w:eastAsia="Times New Roman" w:hAnsi="Arial" w:cs="Arial"/>
                <w:sz w:val="22"/>
                <w:szCs w:val="22"/>
              </w:rPr>
              <w:t xml:space="preserve">, die Speicherdauer in personenbezogener Form bis zum Widerruf (zur Sicherstellung der Datenqualität in der Gesundheitsdatenbank), und den Anonymisierungsvorgang gemäß </w:t>
            </w:r>
            <w:r w:rsidRPr="001B3879">
              <w:rPr>
                <w:rFonts w:ascii="Arial" w:eastAsia="Times New Roman" w:hAnsi="Arial" w:cs="Arial"/>
                <w:sz w:val="22"/>
                <w:szCs w:val="22"/>
                <w:highlight w:val="red"/>
              </w:rPr>
              <w:t>Punkt 2.4</w:t>
            </w:r>
            <w:r w:rsidRPr="001B3879">
              <w:rPr>
                <w:rFonts w:ascii="Arial" w:eastAsia="Times New Roman" w:hAnsi="Arial" w:cs="Arial"/>
                <w:sz w:val="22"/>
                <w:szCs w:val="22"/>
              </w:rPr>
              <w:t xml:space="preserve"> zu umfassen. Darüber hinaus sind die Betroffenen im Rahmen der Einholung der Einwilligung auf die jederzeitige Widerruflichkeit der Einwilligung (siehe </w:t>
            </w:r>
            <w:r w:rsidRPr="001B3879">
              <w:rPr>
                <w:rFonts w:ascii="Arial" w:eastAsia="Times New Roman" w:hAnsi="Arial" w:cs="Arial"/>
                <w:sz w:val="22"/>
                <w:szCs w:val="22"/>
                <w:highlight w:val="red"/>
              </w:rPr>
              <w:t>Punkt 3.4</w:t>
            </w:r>
            <w:r w:rsidRPr="001B3879">
              <w:rPr>
                <w:rFonts w:ascii="Arial" w:eastAsia="Times New Roman" w:hAnsi="Arial" w:cs="Arial"/>
                <w:sz w:val="22"/>
                <w:szCs w:val="22"/>
              </w:rPr>
              <w:t xml:space="preserve">) und die Nutzung ihrer gemäß </w:t>
            </w:r>
            <w:r w:rsidRPr="001B3879">
              <w:rPr>
                <w:rFonts w:ascii="Arial" w:eastAsia="Times New Roman" w:hAnsi="Arial" w:cs="Arial"/>
                <w:sz w:val="22"/>
                <w:szCs w:val="22"/>
                <w:highlight w:val="red"/>
              </w:rPr>
              <w:t>Punkt 2.4</w:t>
            </w:r>
            <w:r w:rsidRPr="001B3879">
              <w:rPr>
                <w:rFonts w:ascii="Arial" w:eastAsia="Times New Roman" w:hAnsi="Arial" w:cs="Arial"/>
                <w:sz w:val="22"/>
                <w:szCs w:val="22"/>
              </w:rPr>
              <w:t xml:space="preserve"> anonymisierten Daten in der Online-Gesundheitsdatenbank hinzuweisen. Darüber hinaus haben die Parteien den Betroffenen die Datenschutzinformation gemäß </w:t>
            </w:r>
            <w:r w:rsidRPr="001B3879">
              <w:rPr>
                <w:rFonts w:ascii="Arial" w:eastAsia="Times New Roman" w:hAnsi="Arial" w:cs="Arial"/>
                <w:sz w:val="22"/>
                <w:szCs w:val="22"/>
                <w:highlight w:val="red"/>
              </w:rPr>
              <w:t>Punkt </w:t>
            </w:r>
            <w:r>
              <w:rPr>
                <w:rFonts w:ascii="Arial" w:eastAsia="Times New Roman" w:hAnsi="Arial" w:cs="Arial"/>
                <w:sz w:val="22"/>
                <w:szCs w:val="22"/>
                <w:highlight w:val="red"/>
              </w:rPr>
              <w:t>3.9.1</w:t>
            </w:r>
            <w:r w:rsidRPr="001B3879">
              <w:rPr>
                <w:rFonts w:ascii="Arial" w:eastAsia="Times New Roman" w:hAnsi="Arial" w:cs="Arial"/>
                <w:sz w:val="22"/>
                <w:szCs w:val="22"/>
              </w:rPr>
              <w:t xml:space="preserve"> zur Kenntnis zu bringen.</w:t>
            </w:r>
          </w:p>
        </w:tc>
      </w:tr>
      <w:tr w:rsidR="00F42D7E" w:rsidRPr="001B3879" w14:paraId="2BEE21FA" w14:textId="77777777" w:rsidTr="00F42D7E">
        <w:tc>
          <w:tcPr>
            <w:tcW w:w="9498" w:type="dxa"/>
          </w:tcPr>
          <w:p w14:paraId="1A21F436" w14:textId="14AD0CC3" w:rsidR="00F42D7E" w:rsidRPr="001B3879" w:rsidRDefault="00F42D7E" w:rsidP="000B0ACC">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t xml:space="preserve">Die Betroffenen haben nach dem Datenschutzrecht das Recht, ihre Einwilligung zur Verarbeitung ihrer personenbezogenen Daten jederzeit zu widerrufen (siehe zum nach außen als gemeinsamen Kontakt benannte Partei </w:t>
            </w:r>
            <w:r w:rsidRPr="001B3879">
              <w:rPr>
                <w:rFonts w:ascii="Arial" w:eastAsia="Times New Roman" w:hAnsi="Arial" w:cs="Arial"/>
                <w:sz w:val="22"/>
                <w:szCs w:val="22"/>
                <w:highlight w:val="red"/>
              </w:rPr>
              <w:t>Punkt </w:t>
            </w:r>
            <w:r>
              <w:rPr>
                <w:rFonts w:ascii="Arial" w:eastAsia="Times New Roman" w:hAnsi="Arial" w:cs="Arial"/>
                <w:sz w:val="22"/>
                <w:szCs w:val="22"/>
                <w:highlight w:val="red"/>
              </w:rPr>
              <w:t>3.9.1</w:t>
            </w:r>
            <w:r w:rsidRPr="001B3879">
              <w:rPr>
                <w:rFonts w:ascii="Arial" w:eastAsia="Times New Roman" w:hAnsi="Arial" w:cs="Arial"/>
                <w:sz w:val="22"/>
                <w:szCs w:val="22"/>
              </w:rPr>
              <w:t>). Durch den Widerruf der Einwilligung wird die Rechtmäßigkeit der aufgrund der Einwilligung bis zum Widerruf erfolgten Verarbeitung nicht berührt; der Widerruf hat somit keine Auswirkung auf die (ja gänzlich anonymisierten Daten) in der Online-Gesundheitsdatenbank. Die Parteien garantieren, dass der Widerruf der Einwilligung so einfach wie die Erteilung der Einwilligung geboten wird und</w:t>
            </w:r>
            <w:r>
              <w:rPr>
                <w:rFonts w:ascii="Arial" w:eastAsia="Times New Roman" w:hAnsi="Arial" w:cs="Arial"/>
                <w:sz w:val="22"/>
                <w:szCs w:val="22"/>
              </w:rPr>
              <w:t xml:space="preserve"> über die Möglichkeiten des Widerrufs </w:t>
            </w:r>
            <w:r w:rsidRPr="001B3879">
              <w:rPr>
                <w:rFonts w:ascii="Arial" w:eastAsia="Times New Roman" w:hAnsi="Arial" w:cs="Arial"/>
                <w:sz w:val="22"/>
                <w:szCs w:val="22"/>
              </w:rPr>
              <w:t>die Betroffenen entsprechend im Rahmen der Einholung der Einwilligung informiert werden.</w:t>
            </w:r>
          </w:p>
        </w:tc>
      </w:tr>
      <w:tr w:rsidR="00F42D7E" w:rsidRPr="001B3879" w14:paraId="7703A803" w14:textId="77777777" w:rsidTr="00F42D7E">
        <w:tc>
          <w:tcPr>
            <w:tcW w:w="9498" w:type="dxa"/>
          </w:tcPr>
          <w:p w14:paraId="2545877E" w14:textId="6550CCB3" w:rsidR="00F42D7E" w:rsidRPr="001B3879" w:rsidRDefault="00F42D7E" w:rsidP="000B0ACC">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t xml:space="preserve">Bei der Beurteilung, ob die Einwilligung durch die Betroffenen freiwillig erteilt wurde, muss dem Umstand in größtmöglichem Umfang Rechnung getragen werden, ob unter anderem die Erfüllung eines Vertrags, einschließlich der Erbringung einer Dienstleistung, von der Einwilligung zu einer Verarbeitung von personenbezogenen </w:t>
            </w:r>
            <w:r w:rsidRPr="001B3879">
              <w:rPr>
                <w:rFonts w:ascii="Arial" w:eastAsia="Times New Roman" w:hAnsi="Arial" w:cs="Arial"/>
                <w:sz w:val="22"/>
                <w:szCs w:val="22"/>
              </w:rPr>
              <w:lastRenderedPageBreak/>
              <w:t>Daten abhängig ist, die für die Erfüllung des Vertrags nicht erforderlich sind. Die Parteien garantieren einander wechselseitig, dass sie diese Grundsätze einhalten.</w:t>
            </w:r>
          </w:p>
        </w:tc>
      </w:tr>
      <w:tr w:rsidR="00F42D7E" w:rsidRPr="001B3879" w14:paraId="46D0CB4D" w14:textId="77777777" w:rsidTr="00F42D7E">
        <w:tc>
          <w:tcPr>
            <w:tcW w:w="9498" w:type="dxa"/>
          </w:tcPr>
          <w:p w14:paraId="4CAD10B3" w14:textId="5051A030" w:rsidR="00F42D7E" w:rsidRPr="001B3879" w:rsidRDefault="00F42D7E" w:rsidP="000B0ACC">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lastRenderedPageBreak/>
              <w:t>Da die Parteien gemeinsam die Zwecke der und die Mittel zur Verarbeitung der Daten der Betroffenen festlegen, gehen die Parteien von einer datenschutzrechtlichen gemeinsamen Verantwortlichkeit im Sinne des Art. 26 DSGVO aus. Daher regeln die Parteien die datenschutzrechtlichen Rechte und Pflichten bei der Durchführung der Vereinbarung und konkretisier</w:t>
            </w:r>
            <w:r>
              <w:rPr>
                <w:rFonts w:ascii="Arial" w:eastAsia="Times New Roman" w:hAnsi="Arial" w:cs="Arial"/>
                <w:sz w:val="22"/>
                <w:szCs w:val="22"/>
              </w:rPr>
              <w:t>en</w:t>
            </w:r>
            <w:r w:rsidRPr="001B3879">
              <w:rPr>
                <w:rFonts w:ascii="Arial" w:eastAsia="Times New Roman" w:hAnsi="Arial" w:cs="Arial"/>
                <w:sz w:val="22"/>
                <w:szCs w:val="22"/>
              </w:rPr>
              <w:t xml:space="preserve"> insbesondere die Verteilung und Erfüllung der Aufgaben und Pflichten nach anwendbarem Datenschutzrecht (insbesondere der DSGVO) zwischen den Parteien im Hinblick auf die Datenverarbeitung wie folgt:</w:t>
            </w:r>
          </w:p>
        </w:tc>
      </w:tr>
      <w:tr w:rsidR="00F42D7E" w:rsidRPr="001B3879" w14:paraId="0C083ED2" w14:textId="77777777" w:rsidTr="00F42D7E">
        <w:tc>
          <w:tcPr>
            <w:tcW w:w="9498" w:type="dxa"/>
          </w:tcPr>
          <w:p w14:paraId="43F2A2AC" w14:textId="59655348" w:rsidR="00F42D7E" w:rsidRPr="001B3879" w:rsidRDefault="00F42D7E" w:rsidP="000B0ACC">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t>Gegenstand der Datenverarbeitung ist die Verarbeitung der (sensiblen) Daten der Betroffenen im Rahmen des Vertragsgegenstand gegenständlicher Vereinbarung. Die Datenverarbeitung erfolgt entsprechend den in dieser Vereinbarung festgelegten Zwecke</w:t>
            </w:r>
            <w:r>
              <w:rPr>
                <w:rFonts w:ascii="Arial" w:eastAsia="Times New Roman" w:hAnsi="Arial" w:cs="Arial"/>
                <w:sz w:val="22"/>
                <w:szCs w:val="22"/>
              </w:rPr>
              <w:t>n</w:t>
            </w:r>
            <w:r w:rsidRPr="001B3879">
              <w:rPr>
                <w:rFonts w:ascii="Arial" w:eastAsia="Times New Roman" w:hAnsi="Arial" w:cs="Arial"/>
                <w:sz w:val="22"/>
                <w:szCs w:val="22"/>
              </w:rPr>
              <w:t>, Mittel</w:t>
            </w:r>
            <w:r>
              <w:rPr>
                <w:rFonts w:ascii="Arial" w:eastAsia="Times New Roman" w:hAnsi="Arial" w:cs="Arial"/>
                <w:sz w:val="22"/>
                <w:szCs w:val="22"/>
              </w:rPr>
              <w:t>n</w:t>
            </w:r>
            <w:r w:rsidRPr="001B3879">
              <w:rPr>
                <w:rFonts w:ascii="Arial" w:eastAsia="Times New Roman" w:hAnsi="Arial" w:cs="Arial"/>
                <w:sz w:val="22"/>
                <w:szCs w:val="22"/>
              </w:rPr>
              <w:t xml:space="preserve"> und Umfang. Die Dauer der Verarbeitung der Daten in personenbezogener Form richtet sich nach dem etwaigen Widerruf der Betroffenen bzw. dem Anonymisierungsvorgang gemäß </w:t>
            </w:r>
            <w:r w:rsidRPr="001B3879">
              <w:rPr>
                <w:rFonts w:ascii="Arial" w:eastAsia="Times New Roman" w:hAnsi="Arial" w:cs="Arial"/>
                <w:sz w:val="22"/>
                <w:szCs w:val="22"/>
                <w:highlight w:val="red"/>
              </w:rPr>
              <w:t>Punkt 2.4</w:t>
            </w:r>
            <w:r w:rsidRPr="001B3879">
              <w:rPr>
                <w:rFonts w:ascii="Arial" w:eastAsia="Times New Roman" w:hAnsi="Arial" w:cs="Arial"/>
                <w:sz w:val="22"/>
                <w:szCs w:val="22"/>
              </w:rPr>
              <w:t>.</w:t>
            </w:r>
          </w:p>
        </w:tc>
      </w:tr>
      <w:tr w:rsidR="00F42D7E" w:rsidRPr="001B3879" w14:paraId="5F132B06" w14:textId="77777777" w:rsidTr="00F42D7E">
        <w:tc>
          <w:tcPr>
            <w:tcW w:w="9498" w:type="dxa"/>
          </w:tcPr>
          <w:p w14:paraId="3613AE0A" w14:textId="2B85DC90" w:rsidR="00F42D7E" w:rsidRPr="001B3879" w:rsidRDefault="00F42D7E" w:rsidP="000B0ACC">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t>Die Parteien garantieren sich wechselseitig, dass die Datenverarbeitung ausschließlich in einem Mitgliedstaat der Europäischen Union (EU) bzw</w:t>
            </w:r>
            <w:r>
              <w:rPr>
                <w:rFonts w:ascii="Arial" w:eastAsia="Times New Roman" w:hAnsi="Arial" w:cs="Arial"/>
                <w:sz w:val="22"/>
                <w:szCs w:val="22"/>
              </w:rPr>
              <w:t>.</w:t>
            </w:r>
            <w:r w:rsidRPr="001B3879">
              <w:rPr>
                <w:rFonts w:ascii="Arial" w:eastAsia="Times New Roman" w:hAnsi="Arial" w:cs="Arial"/>
                <w:sz w:val="22"/>
                <w:szCs w:val="22"/>
              </w:rPr>
              <w:t xml:space="preserve"> des Europäischen Wirtschaftsraums (EWR) stattfindet. Jede Verlagerung in ein Drittland muss zwischen den Parteien abgestimmt werden und darf generell nur erfolgen, wenn die besonderen Voraussetzungen der Art. 44 ff DSGVO erfüllt sind.</w:t>
            </w:r>
          </w:p>
        </w:tc>
      </w:tr>
      <w:tr w:rsidR="00F42D7E" w:rsidRPr="001B3879" w14:paraId="52C1963A" w14:textId="77777777" w:rsidTr="00F42D7E">
        <w:tc>
          <w:tcPr>
            <w:tcW w:w="9498" w:type="dxa"/>
          </w:tcPr>
          <w:p w14:paraId="720620F7" w14:textId="0C81FD0F" w:rsidR="00F42D7E" w:rsidRPr="001B3879" w:rsidRDefault="00F42D7E" w:rsidP="000B0ACC">
            <w:pPr>
              <w:pStyle w:val="Listenabsatz"/>
              <w:numPr>
                <w:ilvl w:val="1"/>
                <w:numId w:val="2"/>
              </w:numPr>
              <w:ind w:left="661" w:hanging="661"/>
              <w:rPr>
                <w:rFonts w:ascii="Arial" w:eastAsia="Times New Roman" w:hAnsi="Arial" w:cs="Arial"/>
                <w:sz w:val="22"/>
                <w:szCs w:val="22"/>
              </w:rPr>
            </w:pPr>
            <w:r w:rsidRPr="001B3879">
              <w:rPr>
                <w:rFonts w:ascii="Arial" w:eastAsia="Times New Roman" w:hAnsi="Arial" w:cs="Arial"/>
                <w:sz w:val="22"/>
                <w:szCs w:val="22"/>
              </w:rPr>
              <w:t>Die Zuständigkeiten für die Erfüllung der datenschutzrechtlichen Pflichten im Hinblick auf die Datenverarbeitung sind zwischen den Parteien nach Phasen der Datenverarbeitung folgendermaßen aufgeteilt, wobei sich die Parteien hinsichtlich der Texte für die Datenschutzinformation und Einwilligung tunlichst im Vorfeld auf einheitliches Wording und auch hinsichtlich einheitlicher Form und Prozesse abstimmen werden:</w:t>
            </w:r>
          </w:p>
        </w:tc>
      </w:tr>
      <w:tr w:rsidR="00F42D7E" w:rsidRPr="001B3879" w14:paraId="0EC835A6" w14:textId="77777777" w:rsidTr="00F42D7E">
        <w:tc>
          <w:tcPr>
            <w:tcW w:w="9498" w:type="dxa"/>
          </w:tcPr>
          <w:p w14:paraId="1832E2CB" w14:textId="65B08D38" w:rsidR="00F42D7E" w:rsidRPr="000B0ACC" w:rsidRDefault="00F42D7E"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Für die Information der Betroffenen im Zusammenhang mit der Einwilligung und die rechtmäßige Einwilligung der Betroffenen sind die Parteien jeweils für ihre eigene Sphäre zuständig. Die Parteien bestimmen AAA als nach außen benannten gemeinsamen Kontakt für den Widerruf der Einwilligung, wobei BBB sich verpflichtet, einen etwaig bei BBB einlangenden Widerruf umgehend an AAA weiterzuleiten.</w:t>
            </w:r>
          </w:p>
        </w:tc>
      </w:tr>
      <w:tr w:rsidR="00F42D7E" w:rsidRPr="001B3879" w14:paraId="4C58F006" w14:textId="77777777" w:rsidTr="00F42D7E">
        <w:tc>
          <w:tcPr>
            <w:tcW w:w="9498" w:type="dxa"/>
          </w:tcPr>
          <w:p w14:paraId="630071F9" w14:textId="04F554B2" w:rsidR="00F42D7E" w:rsidRPr="001B3879" w:rsidRDefault="00F42D7E"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Für die Erteilung der Datenschutzinformation (Artt 13 f DSGVO iVm Art 12 DSGVO) an die Betroffenen sind die Parteien jeweils für ihre eigene Sphäre zuständig.</w:t>
            </w:r>
            <w:r w:rsidRPr="001B3879">
              <w:rPr>
                <w:rFonts w:ascii="Arial" w:hAnsi="Arial" w:cs="Arial"/>
                <w:sz w:val="22"/>
                <w:szCs w:val="22"/>
              </w:rPr>
              <w:t xml:space="preserve"> Die </w:t>
            </w:r>
            <w:r w:rsidRPr="001B3879">
              <w:rPr>
                <w:rFonts w:ascii="Arial" w:eastAsia="Times New Roman" w:hAnsi="Arial" w:cs="Arial"/>
                <w:sz w:val="22"/>
                <w:szCs w:val="22"/>
              </w:rPr>
              <w:t xml:space="preserve">Betroffenen sind dabei in präziser, transparenter, verständlicher und leicht zugänglicher Form in einer klaren und einfachen Sprache unentgeltlich zu informieren, auch über die wesentlichen Inhalte der hier festgelegten </w:t>
            </w:r>
            <w:r>
              <w:rPr>
                <w:rFonts w:ascii="Arial" w:eastAsia="Times New Roman" w:hAnsi="Arial" w:cs="Arial"/>
                <w:sz w:val="22"/>
                <w:szCs w:val="22"/>
              </w:rPr>
              <w:t xml:space="preserve">datenschutzrechtlichen </w:t>
            </w:r>
            <w:r w:rsidRPr="001B3879">
              <w:rPr>
                <w:rFonts w:ascii="Arial" w:eastAsia="Times New Roman" w:hAnsi="Arial" w:cs="Arial"/>
                <w:sz w:val="22"/>
                <w:szCs w:val="22"/>
              </w:rPr>
              <w:t>Zuständigkeitsverteilung zwischen den Parteien.</w:t>
            </w:r>
          </w:p>
        </w:tc>
      </w:tr>
      <w:tr w:rsidR="00F42D7E" w:rsidRPr="001B3879" w14:paraId="1C80EF52" w14:textId="77777777" w:rsidTr="00F42D7E">
        <w:tc>
          <w:tcPr>
            <w:tcW w:w="9498" w:type="dxa"/>
          </w:tcPr>
          <w:p w14:paraId="6A7FB8F8" w14:textId="12039C75" w:rsidR="00F42D7E" w:rsidRPr="001B3879" w:rsidRDefault="00F42D7E"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Für die Erhebung der Daten der Betroffenen sind die Parteien jeweils für ihre eigene Sphäre zuständig. Die Parteien garantieren, hinsichtlich der</w:t>
            </w:r>
            <w:r>
              <w:rPr>
                <w:rFonts w:ascii="Arial" w:eastAsia="Times New Roman" w:hAnsi="Arial" w:cs="Arial"/>
                <w:sz w:val="22"/>
                <w:szCs w:val="22"/>
              </w:rPr>
              <w:t xml:space="preserve"> Verarbeitung </w:t>
            </w:r>
            <w:r w:rsidRPr="001B3879">
              <w:rPr>
                <w:rFonts w:ascii="Arial" w:eastAsia="Times New Roman" w:hAnsi="Arial" w:cs="Arial"/>
                <w:sz w:val="22"/>
                <w:szCs w:val="22"/>
              </w:rPr>
              <w:t>das etwaig anwendbare Gesundheitstelematikgesetz (GTelG 2012) und etwaige sonstige datenschutzrechtliche Sondervorschriften einzuhalten.</w:t>
            </w:r>
          </w:p>
        </w:tc>
      </w:tr>
      <w:tr w:rsidR="00F42D7E" w:rsidRPr="001B3879" w14:paraId="43E948F6" w14:textId="77777777" w:rsidTr="00F42D7E">
        <w:tc>
          <w:tcPr>
            <w:tcW w:w="9498" w:type="dxa"/>
          </w:tcPr>
          <w:p w14:paraId="64DF3CFB" w14:textId="26F5037A" w:rsidR="00F42D7E" w:rsidRPr="001B3879" w:rsidRDefault="00F42D7E"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Für die Speicherung der Daten in der Gesundheitsdatenbank sind die Parteien jeweils in ihrer eigenen Sphäre zuständig. Soweit sich die Parteien darauf einigen, dass eine Partei technisch die Gesundheitsdatenbank betreibt, ist diese für die Einhaltung sämtlicher datenschutzrechtlicher Rahmenbedingung</w:t>
            </w:r>
            <w:r>
              <w:rPr>
                <w:rFonts w:ascii="Arial" w:eastAsia="Times New Roman" w:hAnsi="Arial" w:cs="Arial"/>
                <w:sz w:val="22"/>
                <w:szCs w:val="22"/>
              </w:rPr>
              <w:t>en</w:t>
            </w:r>
            <w:r w:rsidRPr="001B3879">
              <w:rPr>
                <w:rFonts w:ascii="Arial" w:eastAsia="Times New Roman" w:hAnsi="Arial" w:cs="Arial"/>
                <w:sz w:val="22"/>
                <w:szCs w:val="22"/>
              </w:rPr>
              <w:t xml:space="preserve"> – insbesondere hinsichtlich der Datensicherheit – zuständig.</w:t>
            </w:r>
          </w:p>
        </w:tc>
      </w:tr>
      <w:tr w:rsidR="00F42D7E" w:rsidRPr="001B3879" w14:paraId="763B13B0" w14:textId="77777777" w:rsidTr="00F42D7E">
        <w:tc>
          <w:tcPr>
            <w:tcW w:w="9498" w:type="dxa"/>
          </w:tcPr>
          <w:p w14:paraId="2985E8B5" w14:textId="3CF05C1E" w:rsidR="00F42D7E" w:rsidRPr="001B3879" w:rsidRDefault="00F42D7E"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 xml:space="preserve">Je nach Sphäre der Verarbeitung iSd </w:t>
            </w:r>
            <w:r w:rsidRPr="001B3879">
              <w:rPr>
                <w:rFonts w:ascii="Arial" w:eastAsia="Times New Roman" w:hAnsi="Arial" w:cs="Arial"/>
                <w:color w:val="000000" w:themeColor="text1"/>
                <w:sz w:val="22"/>
                <w:szCs w:val="22"/>
                <w:highlight w:val="red"/>
              </w:rPr>
              <w:t>Punkt 3.9.4</w:t>
            </w:r>
            <w:r w:rsidRPr="001B3879">
              <w:rPr>
                <w:rFonts w:ascii="Arial" w:eastAsia="Times New Roman" w:hAnsi="Arial" w:cs="Arial"/>
                <w:color w:val="000000" w:themeColor="text1"/>
                <w:sz w:val="22"/>
                <w:szCs w:val="22"/>
              </w:rPr>
              <w:t xml:space="preserve"> </w:t>
            </w:r>
            <w:r w:rsidRPr="001B3879">
              <w:rPr>
                <w:rFonts w:ascii="Arial" w:eastAsia="Times New Roman" w:hAnsi="Arial" w:cs="Arial"/>
                <w:sz w:val="22"/>
                <w:szCs w:val="22"/>
              </w:rPr>
              <w:t>sind die Parteien für die Änderung und Löschung der Daten, die Einschränkung deren Verarbeitung und deren etwaige Übertragung nach Art 20 DSGVO zuständig. Unabhängig davon benennen die Parteien AAA nach außen</w:t>
            </w:r>
            <w:r>
              <w:rPr>
                <w:rFonts w:ascii="Arial" w:eastAsia="Times New Roman" w:hAnsi="Arial" w:cs="Arial"/>
                <w:sz w:val="22"/>
                <w:szCs w:val="22"/>
              </w:rPr>
              <w:t xml:space="preserve"> einen</w:t>
            </w:r>
            <w:r w:rsidRPr="001B3879">
              <w:rPr>
                <w:rFonts w:ascii="Arial" w:eastAsia="Times New Roman" w:hAnsi="Arial" w:cs="Arial"/>
                <w:sz w:val="22"/>
                <w:szCs w:val="22"/>
              </w:rPr>
              <w:t xml:space="preserve"> gemeinsamen Kontakt zur Geltendmachung der Betroffenenrechte gemäß Artt 15 ff DSGVO; soweit diese gegenüber BBB geltend gemacht werden, verpflichtet sich BBB die Geltendmachung umgehend an AAA weiterzuleiten. Vor einer etwaigen Löschung von Daten ist zuvor die andere Partei zu informieren; sie darf der Löschung aus berechtigtem Grund widersprechen, etwa sofern sie eine gesetzliche Aufbewahrungspflicht trifft. Die Parteien haben ein Protokoll über die Löschung bzw. Vernichtung der Daten zu erstellen.</w:t>
            </w:r>
          </w:p>
        </w:tc>
      </w:tr>
      <w:tr w:rsidR="00F42D7E" w:rsidRPr="001B3879" w14:paraId="463DD0B5" w14:textId="77777777" w:rsidTr="00F42D7E">
        <w:tc>
          <w:tcPr>
            <w:tcW w:w="9498" w:type="dxa"/>
          </w:tcPr>
          <w:p w14:paraId="1195BB1A" w14:textId="19F0B7DD" w:rsidR="00F42D7E" w:rsidRPr="001B3879" w:rsidRDefault="00F42D7E"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 xml:space="preserve">Je nach Sphäre der Verarbeitung iSd </w:t>
            </w:r>
            <w:r w:rsidRPr="001B3879">
              <w:rPr>
                <w:rFonts w:ascii="Arial" w:eastAsia="Times New Roman" w:hAnsi="Arial" w:cs="Arial"/>
                <w:color w:val="000000" w:themeColor="text1"/>
                <w:sz w:val="22"/>
                <w:szCs w:val="22"/>
                <w:highlight w:val="red"/>
              </w:rPr>
              <w:t>Punkt</w:t>
            </w:r>
            <w:r>
              <w:rPr>
                <w:rFonts w:ascii="Arial" w:eastAsia="Times New Roman" w:hAnsi="Arial" w:cs="Arial"/>
                <w:color w:val="000000" w:themeColor="text1"/>
                <w:sz w:val="22"/>
                <w:szCs w:val="22"/>
                <w:highlight w:val="red"/>
              </w:rPr>
              <w:t>es</w:t>
            </w:r>
            <w:r w:rsidRPr="001B3879">
              <w:rPr>
                <w:rFonts w:ascii="Arial" w:eastAsia="Times New Roman" w:hAnsi="Arial" w:cs="Arial"/>
                <w:color w:val="000000" w:themeColor="text1"/>
                <w:sz w:val="22"/>
                <w:szCs w:val="22"/>
                <w:highlight w:val="red"/>
              </w:rPr>
              <w:t xml:space="preserve"> 3.9.4</w:t>
            </w:r>
            <w:r w:rsidRPr="001B3879">
              <w:rPr>
                <w:rFonts w:ascii="Arial" w:eastAsia="Times New Roman" w:hAnsi="Arial" w:cs="Arial"/>
                <w:color w:val="000000" w:themeColor="text1"/>
                <w:sz w:val="22"/>
                <w:szCs w:val="22"/>
              </w:rPr>
              <w:t xml:space="preserve"> </w:t>
            </w:r>
            <w:r w:rsidRPr="001B3879">
              <w:rPr>
                <w:rFonts w:ascii="Arial" w:eastAsia="Times New Roman" w:hAnsi="Arial" w:cs="Arial"/>
                <w:sz w:val="22"/>
                <w:szCs w:val="22"/>
              </w:rPr>
              <w:t>sind die Parteien für die Prüfung und Bearbeitung aller Verletzungen des Schutzes personenbezogener Daten iSv Art 4 Nr 12 DSGVO (nachfolgend als „Datenpanne(n)“ bezeichnet) einschließlich der Erfüllung aller deshalb etwaig bestehende</w:t>
            </w:r>
            <w:r>
              <w:rPr>
                <w:rFonts w:ascii="Arial" w:eastAsia="Times New Roman" w:hAnsi="Arial" w:cs="Arial"/>
                <w:sz w:val="22"/>
                <w:szCs w:val="22"/>
              </w:rPr>
              <w:t>n</w:t>
            </w:r>
            <w:r w:rsidRPr="001B3879">
              <w:rPr>
                <w:rFonts w:ascii="Arial" w:eastAsia="Times New Roman" w:hAnsi="Arial" w:cs="Arial"/>
                <w:sz w:val="22"/>
                <w:szCs w:val="22"/>
              </w:rPr>
              <w:t xml:space="preserve"> Meldepflichten gegenüber der zuständigen </w:t>
            </w:r>
            <w:r w:rsidRPr="001B3879">
              <w:rPr>
                <w:rFonts w:ascii="Arial" w:eastAsia="Times New Roman" w:hAnsi="Arial" w:cs="Arial"/>
                <w:sz w:val="22"/>
                <w:szCs w:val="22"/>
              </w:rPr>
              <w:lastRenderedPageBreak/>
              <w:t>Aufsichtsbehörde nach Art. 33 DSGVO oder gegenüber Betroffenen nach Art. 34 DSGVO zuständig. Die Parteien werden jede etwaig festgestellte Datenpanne unverzüglich der jeweils anderen Partei anzeigen und bei einer etwaigen Meldung nach Art. 33, 34 DSGVO sowie einer Aufklärung und Beseitigung von Datenpannen im Rahmen des Erforderlichen und Zumutbaren mitwirken, insbesondere sämtliche in diesem Zusammenhang relevanten Informationen einander unverzüglich zur Verfügung stellen.</w:t>
            </w:r>
          </w:p>
        </w:tc>
      </w:tr>
      <w:tr w:rsidR="00F42D7E" w:rsidRPr="001B3879" w14:paraId="4D983EBD" w14:textId="77777777" w:rsidTr="00F42D7E">
        <w:tc>
          <w:tcPr>
            <w:tcW w:w="9498" w:type="dxa"/>
          </w:tcPr>
          <w:p w14:paraId="3A3E2BEA" w14:textId="7317F58A" w:rsidR="00F42D7E" w:rsidRPr="001B3879" w:rsidRDefault="00F42D7E"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lastRenderedPageBreak/>
              <w:t xml:space="preserve">AAA ist für die Überführung der Daten und deren Anonymisierung gemäß </w:t>
            </w:r>
            <w:r w:rsidRPr="001B3879">
              <w:rPr>
                <w:rFonts w:ascii="Arial" w:eastAsia="Times New Roman" w:hAnsi="Arial" w:cs="Arial"/>
                <w:sz w:val="22"/>
                <w:szCs w:val="22"/>
                <w:highlight w:val="red"/>
              </w:rPr>
              <w:t>Punkt 2.4</w:t>
            </w:r>
            <w:r w:rsidRPr="001B3879">
              <w:rPr>
                <w:rFonts w:ascii="Arial" w:eastAsia="Times New Roman" w:hAnsi="Arial" w:cs="Arial"/>
                <w:sz w:val="22"/>
                <w:szCs w:val="22"/>
              </w:rPr>
              <w:t xml:space="preserve"> in die bzw. in der Online-Gesundheitsdatenbank zuständig.</w:t>
            </w:r>
          </w:p>
        </w:tc>
      </w:tr>
      <w:tr w:rsidR="00F42D7E" w:rsidRPr="001B3879" w14:paraId="79326DC6" w14:textId="77777777" w:rsidTr="00F42D7E">
        <w:tc>
          <w:tcPr>
            <w:tcW w:w="9498" w:type="dxa"/>
          </w:tcPr>
          <w:p w14:paraId="54B8E485" w14:textId="21A053BD" w:rsidR="00F42D7E" w:rsidRPr="001B3879" w:rsidRDefault="00F42D7E" w:rsidP="000B0ACC">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Die Parteien werden sich bei der Einhaltung der in dieser Vereinbarung vereinbarten Festlegungen sowie anwendbaren gesetzlichen Datenschutzbestimmungen (insbesondere der DSGVO) im Rahmen des Erforderlichen und Zumutbaren gegenseitig unterstützen; hierzu zählen insbesondere:</w:t>
            </w:r>
          </w:p>
        </w:tc>
      </w:tr>
      <w:tr w:rsidR="00F42D7E" w:rsidRPr="001B3879" w14:paraId="7E561522" w14:textId="77777777" w:rsidTr="00F42D7E">
        <w:tc>
          <w:tcPr>
            <w:tcW w:w="9498" w:type="dxa"/>
          </w:tcPr>
          <w:p w14:paraId="3C975C78" w14:textId="144A31D5" w:rsidR="00F42D7E" w:rsidRPr="001B3879" w:rsidRDefault="00F42D7E"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Die Verpflichtung, die jeweils andere Partei bei der Etablierung und Aufrechterhaltung angemessener technischer und organisatorischer Maßnahmen zu unterstützen;</w:t>
            </w:r>
          </w:p>
        </w:tc>
      </w:tr>
      <w:tr w:rsidR="00F42D7E" w:rsidRPr="001B3879" w14:paraId="066911B0" w14:textId="77777777" w:rsidTr="00F42D7E">
        <w:tc>
          <w:tcPr>
            <w:tcW w:w="9498" w:type="dxa"/>
          </w:tcPr>
          <w:p w14:paraId="0FFCDCED" w14:textId="0BAE2137" w:rsidR="00F42D7E" w:rsidRPr="001B3879" w:rsidRDefault="00F42D7E"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Die Verpflichtung, sich gegenseitig bei einer etwaig erforderlichen Datenschutz-Folgenabschätzung und etwaigen Konsultationspflichten der zuständigen Aufsichtsbehörde gemäß Artt 35, 36 DSGVO zu unterstützen;</w:t>
            </w:r>
          </w:p>
        </w:tc>
      </w:tr>
      <w:tr w:rsidR="00F42D7E" w:rsidRPr="001B3879" w14:paraId="26020E5F" w14:textId="77777777" w:rsidTr="00F42D7E">
        <w:tc>
          <w:tcPr>
            <w:tcW w:w="9498" w:type="dxa"/>
          </w:tcPr>
          <w:p w14:paraId="463A9800" w14:textId="2898FE50" w:rsidR="00F42D7E" w:rsidRPr="001B3879" w:rsidRDefault="00F42D7E"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Die Verpflichtung, sich bei der Einrichtung und Pflege der beiderseitigen Verzeichnisse der Verarbeitungstätigkeiten zu unterstützen;</w:t>
            </w:r>
          </w:p>
        </w:tc>
      </w:tr>
      <w:tr w:rsidR="00F42D7E" w:rsidRPr="001B3879" w14:paraId="4391C4D8" w14:textId="77777777" w:rsidTr="00F42D7E">
        <w:tc>
          <w:tcPr>
            <w:tcW w:w="9498" w:type="dxa"/>
          </w:tcPr>
          <w:p w14:paraId="7DB8B723" w14:textId="296CAF77" w:rsidR="00F42D7E" w:rsidRPr="001B3879" w:rsidRDefault="00F42D7E" w:rsidP="000B0ACC">
            <w:pPr>
              <w:pStyle w:val="Listenabsatz"/>
              <w:numPr>
                <w:ilvl w:val="2"/>
                <w:numId w:val="2"/>
              </w:numPr>
              <w:rPr>
                <w:rFonts w:ascii="Arial" w:eastAsia="Times New Roman" w:hAnsi="Arial" w:cs="Arial"/>
                <w:sz w:val="22"/>
                <w:szCs w:val="22"/>
              </w:rPr>
            </w:pPr>
            <w:r w:rsidRPr="001B3879">
              <w:rPr>
                <w:rFonts w:ascii="Arial" w:eastAsia="Times New Roman" w:hAnsi="Arial" w:cs="Arial"/>
                <w:sz w:val="22"/>
                <w:szCs w:val="22"/>
              </w:rPr>
              <w:t>Hinsichtlich der Zusammenarbeit mit Aufsichtsbehörden werden die Parteien jeweils der anderen Partei unverzüglich anzeigen, wenn sich eine Datenschutzaufsichtsbehörde im Zusammenhang mit dieser Vereinbarung bzw. mit der damit im Zusammenhang stehenden Datenverarbeitung an sie wendet. Die Parteien sind sich darüber einig, dass Aufforderungen zuständiger Datenschutzaufsichtsbehörden grundsätzlich Folge zu leisten ist, insbesondere sind etwaig angeforderte Informationen zu überlassen und Möglichkeiten zur Prüfung (auch vor Ort) einzuräumen. Die Parteien gewähren zuständigen Datenschutzaufsichtsbehörden in diesem Rahmen die erforderlichen Zugangs-, Auskunfts- und Einsichtsrechte. Soweit wie möglich werden sich die Parteien hinsichtlich der Vorgehensweise miteinander abstimmen, bevor etwaigen Anfragen von zuständigen Datenschutzaufsichtsbehörden Folge geleistet wird bzw. Informationen im Zusammenhang mit dieser Vereinbarung, der Zusammenarbeit oder der Datenverarbeitung an zuständige Datenschutzaufsichtsbehörden herausgegeben werden.</w:t>
            </w:r>
          </w:p>
        </w:tc>
      </w:tr>
      <w:tr w:rsidR="00F42D7E" w:rsidRPr="001B3879" w14:paraId="4F7EB511" w14:textId="77777777" w:rsidTr="00F42D7E">
        <w:tc>
          <w:tcPr>
            <w:tcW w:w="9498" w:type="dxa"/>
          </w:tcPr>
          <w:p w14:paraId="7CF3A0FA" w14:textId="63BD76AE" w:rsidR="00F42D7E" w:rsidRPr="001B3879" w:rsidRDefault="00F42D7E" w:rsidP="000B0ACC">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Die Parteien werden die Datenverarbeitung in ihr jeweiliges Verfahrensverzeichnis nach Art 30 Abs 1 DSGVO aufnehmen und dort als ein Verfahren in gemeinsamer Verantwortung vermerken.</w:t>
            </w:r>
          </w:p>
        </w:tc>
      </w:tr>
      <w:tr w:rsidR="00F42D7E" w:rsidRPr="001B3879" w14:paraId="19D3B24A" w14:textId="77777777" w:rsidTr="00F42D7E">
        <w:tc>
          <w:tcPr>
            <w:tcW w:w="9498" w:type="dxa"/>
          </w:tcPr>
          <w:p w14:paraId="425AE91F" w14:textId="4FC52B0F" w:rsidR="00F42D7E" w:rsidRPr="001B3879" w:rsidRDefault="00F42D7E" w:rsidP="000B0ACC">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Die Parteien erklären jeweils rechtsverbindlich und garantieren für ihre Sphäre bzw. Zuständigkeit, dass sie ausreichende Sicherheitsmaßnahmen iSd Art 32 DSGVO und sonst geeignete technische und organisatorische Maßnahmen iSd Art 28 DSGVO ergriffen haben, um zu verhindern, dass Daten ordnungswidrig verwendet oder Dritten unbefugt zugänglich werden bzw</w:t>
            </w:r>
            <w:r>
              <w:rPr>
                <w:rFonts w:ascii="Arial" w:eastAsia="Times New Roman" w:hAnsi="Arial" w:cs="Arial"/>
                <w:sz w:val="22"/>
                <w:szCs w:val="22"/>
              </w:rPr>
              <w:t>.</w:t>
            </w:r>
            <w:r w:rsidRPr="001B3879">
              <w:rPr>
                <w:rFonts w:ascii="Arial" w:eastAsia="Times New Roman" w:hAnsi="Arial" w:cs="Arial"/>
                <w:sz w:val="22"/>
                <w:szCs w:val="22"/>
              </w:rPr>
              <w:t xml:space="preserve"> um sicherzustellen, dass die Verarbeitung im Einklang mit den Anforderungen der DSGVO und entsprechenden Rechtsvorschriften erfolgt und dass der Schutz der Rechte der betroffenen Personen gewährleistet ist sowie dass sich die Parteien bei der Einhaltung solcher Sicherheitsmaßnahmen unterstützen werden. Die Datenverarbeitung findet auf Datenverarbeitungsanlagen statt, für die technische und organisatorische Maßnahmen zum Schutz personenbezogener Daten getroffen wurden. In diesem Zusammenhang werden die Parteien alle vereinbarten Maßnahmen treffen, die für die Verarbeitung der überlassenen Daten auf den Datenverarbeitungsanlagen iSd Art 32, 24 und 25 DSGVO erforderlich sind. Insbesondere ist bei den Parteien die Aufgabenverteilung bei der Datenverarbeitung zwischen den Organisationseinheiten und zwischen den Mitarbeitern ausdrücklich festgelegt. Die Maßnahmen werden jeweils ordnungsgemäß dokumentiert.</w:t>
            </w:r>
          </w:p>
        </w:tc>
      </w:tr>
      <w:tr w:rsidR="00F42D7E" w:rsidRPr="001B3879" w14:paraId="54183D5E" w14:textId="77777777" w:rsidTr="00F42D7E">
        <w:tc>
          <w:tcPr>
            <w:tcW w:w="9498" w:type="dxa"/>
          </w:tcPr>
          <w:p w14:paraId="4BEF309A" w14:textId="28DC05ED" w:rsidR="00F42D7E" w:rsidRPr="001B3879" w:rsidRDefault="00F42D7E" w:rsidP="000B0ACC">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 xml:space="preserve">Da die technischen und organisatorischen Maßnahmen sowohl dem technischen Fortschritt und der technologischen Weiterentwicklung als auch gesetzlichen Änderungen unterliegen, ist es den Parteien gestattet, alternative und adäquate Maßnahmen umzusetzen, sofern dabei das Sicherheitsniveau der bei Abschluss der Vereinbarung festgelegten Maßnahmen nicht unterschritten wird. Stellt eine Partei fest, dass die nach dieser Vereinbarung umgesetzten Maßnahmen nicht ausreichend sind oder technische Fortschritte bzw. gesetzliche Änderungen weitere Maßnahmen erfordern, hat sie die jeweils </w:t>
            </w:r>
            <w:r w:rsidRPr="001B3879">
              <w:rPr>
                <w:rFonts w:ascii="Arial" w:eastAsia="Times New Roman" w:hAnsi="Arial" w:cs="Arial"/>
                <w:sz w:val="22"/>
                <w:szCs w:val="22"/>
              </w:rPr>
              <w:lastRenderedPageBreak/>
              <w:t>andere Partei unverzüglich schriftlich darüber zu informieren. Die Umsetzung solcher weiteren Maßnahmen erfolgt erst nach schriftlicher Zustimmung der jeweils anderen Partei. Die Parteien werden solche Änderungen dokumentieren.</w:t>
            </w:r>
          </w:p>
        </w:tc>
      </w:tr>
      <w:tr w:rsidR="00F42D7E" w:rsidRPr="001B3879" w14:paraId="66589917" w14:textId="77777777" w:rsidTr="00F42D7E">
        <w:tc>
          <w:tcPr>
            <w:tcW w:w="9498" w:type="dxa"/>
          </w:tcPr>
          <w:p w14:paraId="17886EA9" w14:textId="72F2C9D1" w:rsidR="00F42D7E" w:rsidRPr="001B3879" w:rsidRDefault="00F42D7E" w:rsidP="000B0ACC">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lastRenderedPageBreak/>
              <w:t xml:space="preserve">Jede Partei darf Auftragsverarbeiter im Rahmen der Datenverarbeitung nur nach vorheriger schriftlicher Zustimmung der jeweils anderen Partei einschalten. Zur Prüfung einer solchen Zustimmung hat die beauftragungswillige Partei der jeweils anderen Partei eine Kopie der abzuschließenden Vereinbarung zur Auftragsverarbeitung (mit Ausnahme der Entgeltbestimmungen) zur Verfügung zu stellen. Ferner muss die beauftragungswillige Partei der jeweils anderen Partei schriftlich bestätigen, dass sie den Auftragsverarbeiter unter besonderer Berücksichtigung der Eignung der von diesem getroffenen technischen und organisatorischen Maßnahmen sorgfältig ausgewählt und sich von der Einhaltung der beim Auftragsverarbeiter getroffenen technischen und organisatorischen Maßnahmen überzeugt hat. Dieser Bestätigung ist die Ergebnisdokumentation dieser Überprüfung beizufügen. Die Vereinbarung zur Auftragsbearbeitung hat den Anforderungen der Art 28, 29 DSGVO zu entsprechen. Beide Parteien müssen die Vereinbarung als Auftraggeber wirksam abschließen; jede Partei kann sich im Einzelfall von der jeweils anderen Partei dabei vertreten lassen. Daten dürfen erst nach dem wirksamen Abschluss der Vereinbarung über die Auftragsbearbeitung zwischen den Parteien und dem Auftragsverarbeiter weitergeleitet werden. Eingeschaltete Auftragsverarbeiter sind von der jeweils beauftragungswilligen Partei regelmäßig (d.h. mindestens einmal jährlich) in geeigneter Form zu überprüfen. Über diese Prüfungen ist ein Prüfbericht zu erstellen und der jeweils anderen Partei unaufgefordert zur Verfügung zu stellen. Die Parteien werden sich je zugestimmter Auftragsverarbeitung über deren jeweilige Durchführung, insbesondere hinsichtlich der Weisungserteilung gegenüber dem jeweiligen Auftragsverarbeiter sowie dessen Überprüfung im gegenseitigen Benehmen nach Treu und Glauben verständigen. Die in </w:t>
            </w:r>
            <w:r w:rsidRPr="001B3879">
              <w:rPr>
                <w:rFonts w:ascii="Arial" w:eastAsia="Times New Roman" w:hAnsi="Arial" w:cs="Arial"/>
                <w:sz w:val="22"/>
                <w:szCs w:val="22"/>
                <w:highlight w:val="darkGray"/>
              </w:rPr>
              <w:t>Anlage ./[*]</w:t>
            </w:r>
            <w:r w:rsidRPr="001B3879">
              <w:rPr>
                <w:rFonts w:ascii="Arial" w:eastAsia="Times New Roman" w:hAnsi="Arial" w:cs="Arial"/>
                <w:sz w:val="22"/>
                <w:szCs w:val="22"/>
              </w:rPr>
              <w:t xml:space="preserve"> aufgelisteten Auftragsverarbeiter gelten von den Parteien als akzeptiert; dort sind auch Einzelheiten zur Durchführung dieser Auftragsverarbeitungen festgeschrieben.</w:t>
            </w:r>
          </w:p>
        </w:tc>
      </w:tr>
      <w:tr w:rsidR="00F42D7E" w:rsidRPr="001B3879" w14:paraId="36331A09" w14:textId="77777777" w:rsidTr="00F42D7E">
        <w:tc>
          <w:tcPr>
            <w:tcW w:w="9498" w:type="dxa"/>
          </w:tcPr>
          <w:p w14:paraId="4F5F5FEA" w14:textId="13E22574" w:rsidR="00F42D7E" w:rsidRPr="001B3879" w:rsidRDefault="00F42D7E" w:rsidP="000B0ACC">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Die Parteien garantieren, dass sie alle mit der Datenverarbeitung beauftragten Personen vor Aufnahme der Tätigkeit zur Wahrung des Datengeheimnisses iSd § 6 DSG bzw</w:t>
            </w:r>
            <w:r>
              <w:rPr>
                <w:rFonts w:ascii="Arial" w:eastAsia="Times New Roman" w:hAnsi="Arial" w:cs="Arial"/>
                <w:sz w:val="22"/>
                <w:szCs w:val="22"/>
              </w:rPr>
              <w:t>.</w:t>
            </w:r>
            <w:r w:rsidRPr="001B3879">
              <w:rPr>
                <w:rFonts w:ascii="Arial" w:eastAsia="Times New Roman" w:hAnsi="Arial" w:cs="Arial"/>
                <w:sz w:val="22"/>
                <w:szCs w:val="22"/>
              </w:rPr>
              <w:t xml:space="preserve"> Art 29 DSGVO verpflichtet haben bzw</w:t>
            </w:r>
            <w:r>
              <w:rPr>
                <w:rFonts w:ascii="Arial" w:eastAsia="Times New Roman" w:hAnsi="Arial" w:cs="Arial"/>
                <w:sz w:val="22"/>
                <w:szCs w:val="22"/>
              </w:rPr>
              <w:t>.</w:t>
            </w:r>
            <w:r w:rsidRPr="001B3879">
              <w:rPr>
                <w:rFonts w:ascii="Arial" w:eastAsia="Times New Roman" w:hAnsi="Arial" w:cs="Arial"/>
                <w:sz w:val="22"/>
                <w:szCs w:val="22"/>
              </w:rPr>
              <w:t xml:space="preserve"> diese einer angemessenen gesetzlichen Verschwiegenheitspflicht unterliegen. Die Verschwiegenheitsverpflichtungen der mit dem Datenverkehr beauftragten Personen bleiben auch nach Beendigung ihrer Tätigkeit und Ausscheiden bei der jeweiligen Partei aufrecht.</w:t>
            </w:r>
          </w:p>
        </w:tc>
      </w:tr>
      <w:tr w:rsidR="00F42D7E" w:rsidRPr="001B3879" w14:paraId="3EE20E15" w14:textId="77777777" w:rsidTr="00F42D7E">
        <w:tc>
          <w:tcPr>
            <w:tcW w:w="9498" w:type="dxa"/>
          </w:tcPr>
          <w:p w14:paraId="6540C304" w14:textId="5A11B31E" w:rsidR="00F42D7E" w:rsidRPr="001B3879" w:rsidRDefault="00F42D7E" w:rsidP="000B0ACC">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Den Parteien ist bewusst, dass unabhängig von gegenständlicher Vereinbarung die Betroffenen ihre Rechte im Rahmen der DSGVO bei und gegenüber jede</w:t>
            </w:r>
            <w:r>
              <w:rPr>
                <w:rFonts w:ascii="Arial" w:eastAsia="Times New Roman" w:hAnsi="Arial" w:cs="Arial"/>
                <w:sz w:val="22"/>
                <w:szCs w:val="22"/>
              </w:rPr>
              <w:t>r</w:t>
            </w:r>
            <w:r w:rsidRPr="001B3879">
              <w:rPr>
                <w:rFonts w:ascii="Arial" w:eastAsia="Times New Roman" w:hAnsi="Arial" w:cs="Arial"/>
                <w:sz w:val="22"/>
                <w:szCs w:val="22"/>
              </w:rPr>
              <w:t xml:space="preserve"> einzelnen der Parteien als datenschutzrechtlich Verantwortlichen geltend machen können.</w:t>
            </w:r>
          </w:p>
        </w:tc>
      </w:tr>
      <w:tr w:rsidR="00F42D7E" w:rsidRPr="001B3879" w14:paraId="4464BEDE" w14:textId="77777777" w:rsidTr="00F42D7E">
        <w:tc>
          <w:tcPr>
            <w:tcW w:w="9498" w:type="dxa"/>
          </w:tcPr>
          <w:p w14:paraId="4E6D5684" w14:textId="07BCB7A9" w:rsidR="00F42D7E" w:rsidRPr="000B0ACC" w:rsidRDefault="00F42D7E" w:rsidP="000B0ACC">
            <w:pPr>
              <w:pStyle w:val="Listenabsatz"/>
              <w:numPr>
                <w:ilvl w:val="0"/>
                <w:numId w:val="2"/>
              </w:numPr>
              <w:jc w:val="center"/>
              <w:rPr>
                <w:rFonts w:ascii="Arial" w:eastAsia="Times New Roman" w:hAnsi="Arial" w:cs="Arial"/>
                <w:sz w:val="22"/>
                <w:szCs w:val="22"/>
              </w:rPr>
            </w:pPr>
            <w:r>
              <w:rPr>
                <w:rStyle w:val="ce840541"/>
              </w:rPr>
              <w:t>DATENEIGENTUM</w:t>
            </w:r>
          </w:p>
        </w:tc>
      </w:tr>
      <w:tr w:rsidR="00F42D7E" w:rsidRPr="000B0ACC" w14:paraId="11FA3797" w14:textId="77777777" w:rsidTr="00F42D7E">
        <w:tc>
          <w:tcPr>
            <w:tcW w:w="9498" w:type="dxa"/>
          </w:tcPr>
          <w:p w14:paraId="62C49B3D" w14:textId="3D138818" w:rsidR="00F42D7E" w:rsidRPr="000B0ACC" w:rsidRDefault="00F42D7E" w:rsidP="000B0ACC">
            <w:pPr>
              <w:pStyle w:val="Listenabsatz"/>
              <w:numPr>
                <w:ilvl w:val="1"/>
                <w:numId w:val="2"/>
              </w:numPr>
              <w:rPr>
                <w:rStyle w:val="ce840541"/>
                <w:b w:val="0"/>
                <w:bCs w:val="0"/>
              </w:rPr>
            </w:pPr>
            <w:r>
              <w:rPr>
                <w:rFonts w:ascii="Arial" w:hAnsi="Arial" w:cs="Arial"/>
                <w:sz w:val="22"/>
                <w:szCs w:val="22"/>
              </w:rPr>
              <w:t xml:space="preserve">Die Parteien gehen davon aus, </w:t>
            </w:r>
            <w:r w:rsidRPr="001B3879">
              <w:rPr>
                <w:rFonts w:ascii="Arial" w:hAnsi="Arial" w:cs="Arial"/>
                <w:sz w:val="22"/>
                <w:szCs w:val="22"/>
              </w:rPr>
              <w:t>an dem verkörperten</w:t>
            </w:r>
            <w:r>
              <w:rPr>
                <w:rFonts w:ascii="Arial" w:hAnsi="Arial" w:cs="Arial"/>
                <w:sz w:val="22"/>
                <w:szCs w:val="22"/>
              </w:rPr>
              <w:t xml:space="preserve"> Bestand der Daten der Betroffenen – unabhängig von den datenschutzrechtlichen Rahmenbedingungen – und dem verkörperten Bestand der Daten in der Online-Gesundheitsdatenbank jeweils mit Generierung </w:t>
            </w:r>
            <w:r w:rsidRPr="001B3879">
              <w:rPr>
                <w:rFonts w:ascii="Arial" w:hAnsi="Arial" w:cs="Arial"/>
                <w:sz w:val="22"/>
                <w:szCs w:val="22"/>
              </w:rPr>
              <w:t>Dateneigentum</w:t>
            </w:r>
            <w:r>
              <w:rPr>
                <w:rFonts w:ascii="Arial" w:hAnsi="Arial" w:cs="Arial"/>
                <w:sz w:val="22"/>
                <w:szCs w:val="22"/>
              </w:rPr>
              <w:t xml:space="preserve"> begründet zu haben</w:t>
            </w:r>
            <w:r w:rsidRPr="001B3879">
              <w:rPr>
                <w:rFonts w:ascii="Arial" w:hAnsi="Arial" w:cs="Arial"/>
                <w:sz w:val="22"/>
                <w:szCs w:val="22"/>
              </w:rPr>
              <w:t>.</w:t>
            </w:r>
            <w:r>
              <w:rPr>
                <w:rFonts w:ascii="Arial" w:hAnsi="Arial" w:cs="Arial"/>
                <w:sz w:val="22"/>
                <w:szCs w:val="22"/>
              </w:rPr>
              <w:t xml:space="preserve"> Die Datenbestände stehen im gemeinsamen (Daten)Eigentum.</w:t>
            </w:r>
            <w:r w:rsidRPr="001B3879">
              <w:rPr>
                <w:rFonts w:ascii="Arial" w:hAnsi="Arial" w:cs="Arial"/>
                <w:sz w:val="22"/>
                <w:szCs w:val="22"/>
              </w:rPr>
              <w:t xml:space="preserve"> </w:t>
            </w:r>
          </w:p>
        </w:tc>
      </w:tr>
      <w:tr w:rsidR="00F42D7E" w:rsidRPr="000B0ACC" w14:paraId="5F672D68" w14:textId="77777777" w:rsidTr="00F42D7E">
        <w:tc>
          <w:tcPr>
            <w:tcW w:w="9498" w:type="dxa"/>
          </w:tcPr>
          <w:p w14:paraId="28C4D018" w14:textId="0AA1F232" w:rsidR="00F42D7E" w:rsidRDefault="00F42D7E" w:rsidP="000B0ACC">
            <w:pPr>
              <w:pStyle w:val="Listenabsatz"/>
              <w:numPr>
                <w:ilvl w:val="1"/>
                <w:numId w:val="2"/>
              </w:numPr>
              <w:rPr>
                <w:rFonts w:ascii="Arial" w:hAnsi="Arial" w:cs="Arial"/>
                <w:sz w:val="22"/>
                <w:szCs w:val="22"/>
              </w:rPr>
            </w:pPr>
            <w:r w:rsidRPr="001B3879">
              <w:rPr>
                <w:rFonts w:ascii="Arial" w:hAnsi="Arial" w:cs="Arial"/>
                <w:sz w:val="22"/>
                <w:szCs w:val="22"/>
              </w:rPr>
              <w:t>Soweit</w:t>
            </w:r>
            <w:r>
              <w:rPr>
                <w:rFonts w:ascii="Arial" w:hAnsi="Arial" w:cs="Arial"/>
                <w:sz w:val="22"/>
                <w:szCs w:val="22"/>
              </w:rPr>
              <w:t xml:space="preserve"> ein Eigentum im Sinne des </w:t>
            </w:r>
            <w:r w:rsidRPr="004750F0">
              <w:rPr>
                <w:rFonts w:ascii="Arial" w:hAnsi="Arial" w:cs="Arial"/>
                <w:sz w:val="22"/>
                <w:szCs w:val="22"/>
                <w:highlight w:val="red"/>
              </w:rPr>
              <w:t>Punktes 4.1</w:t>
            </w:r>
            <w:r>
              <w:rPr>
                <w:rFonts w:ascii="Arial" w:hAnsi="Arial" w:cs="Arial"/>
                <w:sz w:val="22"/>
                <w:szCs w:val="22"/>
              </w:rPr>
              <w:t xml:space="preserve"> nicht zustande kommt</w:t>
            </w:r>
            <w:r w:rsidRPr="001B3879">
              <w:rPr>
                <w:rFonts w:ascii="Arial" w:hAnsi="Arial" w:cs="Arial"/>
                <w:sz w:val="22"/>
                <w:szCs w:val="22"/>
              </w:rPr>
              <w:t>, vereinbaren die Parteien, dass</w:t>
            </w:r>
            <w:r>
              <w:rPr>
                <w:rFonts w:ascii="Arial" w:hAnsi="Arial" w:cs="Arial"/>
                <w:sz w:val="22"/>
                <w:szCs w:val="22"/>
              </w:rPr>
              <w:t xml:space="preserve"> sie mit Generierung der Datenbestände gemeinsam </w:t>
            </w:r>
            <w:r w:rsidRPr="001B3879">
              <w:rPr>
                <w:rFonts w:ascii="Arial" w:hAnsi="Arial" w:cs="Arial"/>
                <w:sz w:val="22"/>
                <w:szCs w:val="22"/>
              </w:rPr>
              <w:t xml:space="preserve">das unwiderrufliche, </w:t>
            </w:r>
            <w:r>
              <w:rPr>
                <w:rFonts w:ascii="Arial" w:hAnsi="Arial" w:cs="Arial"/>
                <w:sz w:val="22"/>
                <w:szCs w:val="22"/>
              </w:rPr>
              <w:t xml:space="preserve">ausschließliche, </w:t>
            </w:r>
            <w:r w:rsidRPr="001B3879">
              <w:rPr>
                <w:rFonts w:ascii="Arial" w:hAnsi="Arial" w:cs="Arial"/>
                <w:sz w:val="22"/>
                <w:szCs w:val="22"/>
              </w:rPr>
              <w:t xml:space="preserve">sachlich, zeitlich und örtlich unbeschränkte, (sub)lizenzierbare und weitergebbare und unbelastete Nutzungsrecht, einschließlich des Rechts der unbeschränkten Bearbeitung und Kennzeichnung, </w:t>
            </w:r>
            <w:r>
              <w:rPr>
                <w:rFonts w:ascii="Arial" w:hAnsi="Arial" w:cs="Arial"/>
                <w:sz w:val="22"/>
                <w:szCs w:val="22"/>
              </w:rPr>
              <w:t xml:space="preserve">halten bzw. sich wechselseitig einräumen. </w:t>
            </w:r>
          </w:p>
        </w:tc>
      </w:tr>
      <w:tr w:rsidR="00F42D7E" w:rsidRPr="000B0ACC" w14:paraId="6347D775" w14:textId="77777777" w:rsidTr="00F42D7E">
        <w:tc>
          <w:tcPr>
            <w:tcW w:w="9498" w:type="dxa"/>
          </w:tcPr>
          <w:p w14:paraId="0E8AB7E8" w14:textId="42AD8C15" w:rsidR="00F42D7E" w:rsidRPr="001B3879" w:rsidRDefault="00F42D7E" w:rsidP="000B0ACC">
            <w:pPr>
              <w:pStyle w:val="Listenabsatz"/>
              <w:numPr>
                <w:ilvl w:val="1"/>
                <w:numId w:val="2"/>
              </w:numPr>
              <w:rPr>
                <w:rFonts w:ascii="Arial" w:hAnsi="Arial" w:cs="Arial"/>
                <w:sz w:val="22"/>
                <w:szCs w:val="22"/>
              </w:rPr>
            </w:pPr>
            <w:r>
              <w:rPr>
                <w:rFonts w:ascii="Arial" w:hAnsi="Arial" w:cs="Arial"/>
                <w:sz w:val="22"/>
                <w:szCs w:val="22"/>
              </w:rPr>
              <w:t>Soweit in gegenständlicher Vereinbarung nicht anders festgelegt, können die Parteien ausschließlich einvernehmlich über die Datenbestände verfügen.</w:t>
            </w:r>
          </w:p>
        </w:tc>
      </w:tr>
      <w:tr w:rsidR="00F42D7E" w:rsidRPr="000B0ACC" w14:paraId="57662B49" w14:textId="77777777" w:rsidTr="00F42D7E">
        <w:tc>
          <w:tcPr>
            <w:tcW w:w="9498" w:type="dxa"/>
          </w:tcPr>
          <w:p w14:paraId="19CD88F7" w14:textId="4C092C8C" w:rsidR="00F42D7E" w:rsidRDefault="00F42D7E" w:rsidP="000B0ACC">
            <w:pPr>
              <w:pStyle w:val="Listenabsatz"/>
              <w:numPr>
                <w:ilvl w:val="1"/>
                <w:numId w:val="2"/>
              </w:numPr>
              <w:rPr>
                <w:rFonts w:ascii="Arial" w:hAnsi="Arial" w:cs="Arial"/>
                <w:sz w:val="22"/>
                <w:szCs w:val="22"/>
              </w:rPr>
            </w:pPr>
            <w:r w:rsidRPr="001B3879">
              <w:rPr>
                <w:rFonts w:ascii="Arial" w:eastAsia="Times New Roman" w:hAnsi="Arial" w:cs="Arial"/>
                <w:sz w:val="22"/>
                <w:szCs w:val="22"/>
              </w:rPr>
              <w:t>Die</w:t>
            </w:r>
            <w:r>
              <w:rPr>
                <w:rFonts w:ascii="Arial" w:eastAsia="Times New Roman" w:hAnsi="Arial" w:cs="Arial"/>
                <w:sz w:val="22"/>
                <w:szCs w:val="22"/>
              </w:rPr>
              <w:t xml:space="preserve"> Parteien werden </w:t>
            </w:r>
            <w:r w:rsidRPr="001B3879">
              <w:rPr>
                <w:rFonts w:ascii="Arial" w:eastAsia="Times New Roman" w:hAnsi="Arial" w:cs="Arial"/>
                <w:sz w:val="22"/>
                <w:szCs w:val="22"/>
              </w:rPr>
              <w:t>auch gegenüber ihren Mitarbeitern</w:t>
            </w:r>
            <w:r>
              <w:rPr>
                <w:rFonts w:ascii="Arial" w:eastAsia="Times New Roman" w:hAnsi="Arial" w:cs="Arial"/>
                <w:sz w:val="22"/>
                <w:szCs w:val="22"/>
              </w:rPr>
              <w:t xml:space="preserve"> u</w:t>
            </w:r>
            <w:r w:rsidRPr="001B3879">
              <w:rPr>
                <w:rFonts w:ascii="Arial" w:eastAsia="Times New Roman" w:hAnsi="Arial" w:cs="Arial"/>
                <w:sz w:val="22"/>
                <w:szCs w:val="22"/>
              </w:rPr>
              <w:t>dgl., die</w:t>
            </w:r>
            <w:r>
              <w:rPr>
                <w:rFonts w:ascii="Arial" w:eastAsia="Times New Roman" w:hAnsi="Arial" w:cs="Arial"/>
                <w:sz w:val="22"/>
                <w:szCs w:val="22"/>
              </w:rPr>
              <w:t xml:space="preserve"> im Rahmen der Leistungserbringung der Vereinbarung </w:t>
            </w:r>
            <w:r w:rsidRPr="001B3879">
              <w:rPr>
                <w:rFonts w:ascii="Arial" w:eastAsia="Times New Roman" w:hAnsi="Arial" w:cs="Arial"/>
                <w:sz w:val="22"/>
                <w:szCs w:val="22"/>
              </w:rPr>
              <w:t>direkt oder indirekt eingesetzt werden, etwaig notwendige Vereinbarungen treffen und zwar in schriftlicher Form und</w:t>
            </w:r>
            <w:r>
              <w:rPr>
                <w:rFonts w:ascii="Arial" w:eastAsia="Times New Roman" w:hAnsi="Arial" w:cs="Arial"/>
                <w:sz w:val="22"/>
                <w:szCs w:val="22"/>
              </w:rPr>
              <w:t xml:space="preserve"> sich wechselseitig hinsichtlich der Rechteeinräumung </w:t>
            </w:r>
            <w:r w:rsidRPr="001B3879">
              <w:rPr>
                <w:rFonts w:ascii="Arial" w:eastAsia="Times New Roman" w:hAnsi="Arial" w:cs="Arial"/>
                <w:sz w:val="22"/>
                <w:szCs w:val="22"/>
              </w:rPr>
              <w:t xml:space="preserve">auf Aufforderung </w:t>
            </w:r>
            <w:r>
              <w:rPr>
                <w:rFonts w:ascii="Arial" w:eastAsia="Times New Roman" w:hAnsi="Arial" w:cs="Arial"/>
                <w:sz w:val="22"/>
                <w:szCs w:val="22"/>
              </w:rPr>
              <w:t xml:space="preserve">in Kopie zur Rechteverfolgung </w:t>
            </w:r>
            <w:r w:rsidRPr="001B3879">
              <w:rPr>
                <w:rFonts w:ascii="Arial" w:eastAsia="Times New Roman" w:hAnsi="Arial" w:cs="Arial"/>
                <w:sz w:val="22"/>
                <w:szCs w:val="22"/>
              </w:rPr>
              <w:t>herausgeben.</w:t>
            </w:r>
          </w:p>
        </w:tc>
      </w:tr>
      <w:tr w:rsidR="00F42D7E" w:rsidRPr="000B0ACC" w14:paraId="2A95B9F5" w14:textId="77777777" w:rsidTr="00F42D7E">
        <w:tc>
          <w:tcPr>
            <w:tcW w:w="9498" w:type="dxa"/>
          </w:tcPr>
          <w:p w14:paraId="130D87D0" w14:textId="39E6BD82" w:rsidR="00F42D7E" w:rsidRPr="001B3879" w:rsidRDefault="00F42D7E" w:rsidP="006B411E">
            <w:pPr>
              <w:pStyle w:val="Listenabsatz"/>
              <w:numPr>
                <w:ilvl w:val="0"/>
                <w:numId w:val="2"/>
              </w:numPr>
              <w:jc w:val="center"/>
              <w:rPr>
                <w:rFonts w:ascii="Arial" w:eastAsia="Times New Roman" w:hAnsi="Arial" w:cs="Arial"/>
                <w:sz w:val="22"/>
                <w:szCs w:val="22"/>
              </w:rPr>
            </w:pPr>
            <w:r w:rsidRPr="001B3879">
              <w:rPr>
                <w:rStyle w:val="ce840541"/>
              </w:rPr>
              <w:t>MONETARISIERUNG</w:t>
            </w:r>
          </w:p>
        </w:tc>
      </w:tr>
      <w:tr w:rsidR="00F42D7E" w:rsidRPr="000B0ACC" w14:paraId="01D1F790" w14:textId="77777777" w:rsidTr="00F42D7E">
        <w:tc>
          <w:tcPr>
            <w:tcW w:w="9498" w:type="dxa"/>
          </w:tcPr>
          <w:p w14:paraId="35119FD9" w14:textId="5A69225F" w:rsidR="00F42D7E" w:rsidRPr="006B411E" w:rsidRDefault="00F42D7E" w:rsidP="006B411E">
            <w:pPr>
              <w:pStyle w:val="Listenabsatz"/>
              <w:numPr>
                <w:ilvl w:val="1"/>
                <w:numId w:val="2"/>
              </w:numPr>
              <w:rPr>
                <w:b/>
                <w:bCs/>
              </w:rPr>
            </w:pPr>
            <w:r w:rsidRPr="001B3879">
              <w:rPr>
                <w:rFonts w:ascii="Arial" w:hAnsi="Arial" w:cs="Arial"/>
                <w:sz w:val="22"/>
                <w:szCs w:val="22"/>
              </w:rPr>
              <w:t xml:space="preserve">Die Monetarisierung </w:t>
            </w:r>
            <w:r>
              <w:rPr>
                <w:rFonts w:ascii="Arial" w:hAnsi="Arial" w:cs="Arial"/>
                <w:sz w:val="22"/>
                <w:szCs w:val="22"/>
              </w:rPr>
              <w:t xml:space="preserve">(des Dateneigentums) </w:t>
            </w:r>
            <w:r w:rsidRPr="001B3879">
              <w:rPr>
                <w:rFonts w:ascii="Arial" w:hAnsi="Arial" w:cs="Arial"/>
                <w:sz w:val="22"/>
                <w:szCs w:val="22"/>
              </w:rPr>
              <w:t xml:space="preserve">soll durch den Vertrieb der Online-Gesundheitsdatenbank erfolgen (siehe </w:t>
            </w:r>
            <w:r w:rsidRPr="001B3879">
              <w:rPr>
                <w:rFonts w:ascii="Arial" w:hAnsi="Arial" w:cs="Arial"/>
                <w:sz w:val="22"/>
                <w:szCs w:val="22"/>
                <w:highlight w:val="red"/>
              </w:rPr>
              <w:t>Punkt 2.5</w:t>
            </w:r>
            <w:r w:rsidRPr="001B3879">
              <w:rPr>
                <w:rFonts w:ascii="Arial" w:hAnsi="Arial" w:cs="Arial"/>
                <w:sz w:val="22"/>
                <w:szCs w:val="22"/>
              </w:rPr>
              <w:t>).</w:t>
            </w:r>
          </w:p>
        </w:tc>
      </w:tr>
      <w:tr w:rsidR="00F42D7E" w:rsidRPr="000B0ACC" w14:paraId="22E2E53E" w14:textId="77777777" w:rsidTr="00F42D7E">
        <w:tc>
          <w:tcPr>
            <w:tcW w:w="9498" w:type="dxa"/>
          </w:tcPr>
          <w:p w14:paraId="2ABC2FBD" w14:textId="31D8B04F" w:rsidR="00F42D7E" w:rsidRPr="001B3879" w:rsidRDefault="00F42D7E" w:rsidP="006B411E">
            <w:pPr>
              <w:pStyle w:val="Listenabsatz"/>
              <w:numPr>
                <w:ilvl w:val="1"/>
                <w:numId w:val="2"/>
              </w:numPr>
              <w:rPr>
                <w:rFonts w:ascii="Arial" w:hAnsi="Arial" w:cs="Arial"/>
                <w:sz w:val="22"/>
                <w:szCs w:val="22"/>
              </w:rPr>
            </w:pPr>
            <w:r w:rsidRPr="001B3879">
              <w:rPr>
                <w:rFonts w:ascii="Arial" w:hAnsi="Arial" w:cs="Arial"/>
                <w:sz w:val="22"/>
                <w:szCs w:val="22"/>
              </w:rPr>
              <w:lastRenderedPageBreak/>
              <w:t xml:space="preserve">BBB erhält von AAA gemäß dem in </w:t>
            </w:r>
            <w:r w:rsidRPr="001B3879">
              <w:rPr>
                <w:rFonts w:ascii="Arial" w:eastAsia="Times New Roman" w:hAnsi="Arial" w:cs="Arial"/>
                <w:sz w:val="22"/>
                <w:szCs w:val="22"/>
                <w:highlight w:val="darkGray"/>
              </w:rPr>
              <w:t>Anlage ./</w:t>
            </w:r>
            <w:r>
              <w:rPr>
                <w:rFonts w:ascii="Arial" w:eastAsia="Times New Roman" w:hAnsi="Arial" w:cs="Arial"/>
                <w:sz w:val="22"/>
                <w:szCs w:val="22"/>
                <w:highlight w:val="darkGray"/>
              </w:rPr>
              <w:t>5.2</w:t>
            </w:r>
            <w:r w:rsidRPr="001B3879">
              <w:rPr>
                <w:rFonts w:ascii="Arial" w:eastAsia="Times New Roman" w:hAnsi="Arial" w:cs="Arial"/>
                <w:sz w:val="22"/>
                <w:szCs w:val="22"/>
              </w:rPr>
              <w:t xml:space="preserve"> vereinbarten, dort entsprechend wertgesicherten Aufteilungsschlüssel Zahlungen am von AAA (endgültig) von Endkunden vereinnahmten Nutzungsentgelt für die Online-Gesundheitsdatenbank.</w:t>
            </w:r>
          </w:p>
        </w:tc>
      </w:tr>
      <w:tr w:rsidR="00F42D7E" w:rsidRPr="000B0ACC" w14:paraId="05BAF359" w14:textId="77777777" w:rsidTr="00F42D7E">
        <w:tc>
          <w:tcPr>
            <w:tcW w:w="9498" w:type="dxa"/>
          </w:tcPr>
          <w:p w14:paraId="0337E703" w14:textId="463C587A" w:rsidR="00F42D7E" w:rsidRPr="001B3879" w:rsidRDefault="00F42D7E" w:rsidP="006B411E">
            <w:pPr>
              <w:pStyle w:val="Listenabsatz"/>
              <w:numPr>
                <w:ilvl w:val="1"/>
                <w:numId w:val="2"/>
              </w:numPr>
              <w:rPr>
                <w:rFonts w:ascii="Arial" w:hAnsi="Arial" w:cs="Arial"/>
                <w:sz w:val="22"/>
                <w:szCs w:val="22"/>
              </w:rPr>
            </w:pPr>
            <w:r w:rsidRPr="001B3879">
              <w:rPr>
                <w:rFonts w:ascii="Arial" w:hAnsi="Arial" w:cs="Arial"/>
                <w:sz w:val="22"/>
                <w:szCs w:val="22"/>
              </w:rPr>
              <w:t xml:space="preserve">AAA ist zum in der </w:t>
            </w:r>
            <w:r w:rsidRPr="001B3879">
              <w:rPr>
                <w:rFonts w:ascii="Arial" w:eastAsia="Times New Roman" w:hAnsi="Arial" w:cs="Arial"/>
                <w:sz w:val="22"/>
                <w:szCs w:val="22"/>
                <w:highlight w:val="darkGray"/>
              </w:rPr>
              <w:t>Anlage ./</w:t>
            </w:r>
            <w:r>
              <w:rPr>
                <w:rFonts w:ascii="Arial" w:eastAsia="Times New Roman" w:hAnsi="Arial" w:cs="Arial"/>
                <w:sz w:val="22"/>
                <w:szCs w:val="22"/>
                <w:highlight w:val="darkGray"/>
              </w:rPr>
              <w:t>5.3</w:t>
            </w:r>
            <w:r w:rsidRPr="001B3879">
              <w:rPr>
                <w:rFonts w:ascii="Arial" w:eastAsia="Times New Roman" w:hAnsi="Arial" w:cs="Arial"/>
                <w:sz w:val="22"/>
                <w:szCs w:val="22"/>
              </w:rPr>
              <w:t xml:space="preserve"> </w:t>
            </w:r>
            <w:r>
              <w:rPr>
                <w:rFonts w:ascii="Arial" w:eastAsia="Times New Roman" w:hAnsi="Arial" w:cs="Arial"/>
                <w:sz w:val="22"/>
                <w:szCs w:val="22"/>
              </w:rPr>
              <w:t>v</w:t>
            </w:r>
            <w:r w:rsidRPr="001B3879">
              <w:rPr>
                <w:rFonts w:ascii="Arial" w:eastAsia="Times New Roman" w:hAnsi="Arial" w:cs="Arial"/>
                <w:sz w:val="22"/>
                <w:szCs w:val="22"/>
              </w:rPr>
              <w:t xml:space="preserve">ereinbarten </w:t>
            </w:r>
            <w:r w:rsidRPr="001B3879">
              <w:rPr>
                <w:rFonts w:ascii="Arial" w:hAnsi="Arial" w:cs="Arial"/>
                <w:sz w:val="22"/>
                <w:szCs w:val="22"/>
              </w:rPr>
              <w:t>Berichtswesen verpflichtet, wobei BBB ein entsprechendes Bucheinsichtsrecht bei AAA zukommt, also das Berichtswesen durch einen (auch gegenüber BBB mit Ausnahme der Prüfungsergebnisse) zur Verschwiegenheit verpflichteten Buchsachverständigen prüfen zu lassen.</w:t>
            </w:r>
          </w:p>
        </w:tc>
      </w:tr>
      <w:tr w:rsidR="00F42D7E" w:rsidRPr="000B0ACC" w14:paraId="3F51F9AA" w14:textId="77777777" w:rsidTr="00F42D7E">
        <w:tc>
          <w:tcPr>
            <w:tcW w:w="9498" w:type="dxa"/>
          </w:tcPr>
          <w:p w14:paraId="6A6C01EE" w14:textId="3E0F7EC2" w:rsidR="00F42D7E" w:rsidRPr="001B3879" w:rsidRDefault="00F42D7E" w:rsidP="006B411E">
            <w:pPr>
              <w:pStyle w:val="Listenabsatz"/>
              <w:numPr>
                <w:ilvl w:val="1"/>
                <w:numId w:val="2"/>
              </w:numPr>
              <w:rPr>
                <w:rFonts w:ascii="Arial" w:hAnsi="Arial" w:cs="Arial"/>
                <w:sz w:val="22"/>
                <w:szCs w:val="22"/>
              </w:rPr>
            </w:pPr>
            <w:r>
              <w:rPr>
                <w:rFonts w:ascii="Arial" w:hAnsi="Arial" w:cs="Arial"/>
                <w:sz w:val="22"/>
                <w:szCs w:val="22"/>
              </w:rPr>
              <w:t>Die sich aus dem Berichtswesen bzw. den Prüfungsergebnissen ergebenden Beträge werden von BBB der AAA mittels gesetzmäßig von BBB zu erstellender Rechnung abgerechnet.</w:t>
            </w:r>
            <w:r w:rsidRPr="00EA4D61">
              <w:rPr>
                <w:rFonts w:ascii="Arial" w:eastAsia="Times New Roman" w:hAnsi="Arial" w:cs="Arial"/>
                <w:sz w:val="22"/>
                <w:szCs w:val="22"/>
              </w:rPr>
              <w:t xml:space="preserve"> Die Rechnungen sind nach Erhalt ohne jeden Abzug binnen [</w:t>
            </w:r>
            <w:r w:rsidRPr="00EA4D61">
              <w:rPr>
                <w:rFonts w:ascii="Arial" w:eastAsia="Times New Roman" w:hAnsi="Arial" w:cs="Arial"/>
                <w:sz w:val="22"/>
                <w:szCs w:val="22"/>
                <w:highlight w:val="cyan"/>
              </w:rPr>
              <w:t>30</w:t>
            </w:r>
            <w:r w:rsidRPr="00EA4D61">
              <w:rPr>
                <w:rFonts w:ascii="Arial" w:eastAsia="Times New Roman" w:hAnsi="Arial" w:cs="Arial"/>
                <w:sz w:val="22"/>
                <w:szCs w:val="22"/>
              </w:rPr>
              <w:t xml:space="preserve">/ </w:t>
            </w:r>
            <w:r w:rsidRPr="00EA4D61">
              <w:rPr>
                <w:rFonts w:ascii="Arial" w:eastAsia="Times New Roman" w:hAnsi="Arial" w:cs="Arial"/>
                <w:sz w:val="22"/>
                <w:szCs w:val="22"/>
                <w:highlight w:val="green"/>
              </w:rPr>
              <w:t>60</w:t>
            </w:r>
            <w:r w:rsidRPr="00EA4D61">
              <w:rPr>
                <w:rFonts w:ascii="Arial" w:eastAsia="Times New Roman" w:hAnsi="Arial" w:cs="Arial"/>
                <w:sz w:val="22"/>
                <w:szCs w:val="22"/>
              </w:rPr>
              <w:t xml:space="preserve">] Tagen zahlbar. Die Zahlung erfolgt ausnahmslos durch Überweisung auf ein von der </w:t>
            </w:r>
            <w:r>
              <w:rPr>
                <w:rFonts w:ascii="Arial" w:eastAsia="Times New Roman" w:hAnsi="Arial" w:cs="Arial"/>
                <w:sz w:val="22"/>
                <w:szCs w:val="22"/>
              </w:rPr>
              <w:t>BBB</w:t>
            </w:r>
            <w:r w:rsidRPr="00EA4D61">
              <w:rPr>
                <w:rFonts w:ascii="Arial" w:eastAsia="Times New Roman" w:hAnsi="Arial" w:cs="Arial"/>
                <w:sz w:val="22"/>
                <w:szCs w:val="22"/>
              </w:rPr>
              <w:t xml:space="preserve"> bekannt zu gebendes Konto bei einem inländischen Kreditinstitut.</w:t>
            </w:r>
          </w:p>
        </w:tc>
      </w:tr>
      <w:tr w:rsidR="00F42D7E" w:rsidRPr="000B0ACC" w14:paraId="2B16E2AE" w14:textId="77777777" w:rsidTr="00F42D7E">
        <w:tc>
          <w:tcPr>
            <w:tcW w:w="9498" w:type="dxa"/>
          </w:tcPr>
          <w:p w14:paraId="6ED341EE" w14:textId="223FE360" w:rsidR="00F42D7E" w:rsidRDefault="00F42D7E" w:rsidP="006B411E">
            <w:pPr>
              <w:pStyle w:val="Listenabsatz"/>
              <w:numPr>
                <w:ilvl w:val="1"/>
                <w:numId w:val="2"/>
              </w:numPr>
              <w:rPr>
                <w:rFonts w:ascii="Arial" w:hAnsi="Arial" w:cs="Arial"/>
                <w:sz w:val="22"/>
                <w:szCs w:val="22"/>
              </w:rPr>
            </w:pPr>
            <w:r w:rsidRPr="00EA4D61">
              <w:rPr>
                <w:rFonts w:ascii="Arial" w:eastAsia="Times New Roman" w:hAnsi="Arial" w:cs="Arial"/>
                <w:sz w:val="22"/>
                <w:szCs w:val="22"/>
              </w:rPr>
              <w:t>Werden Zahlungen – auch unverschuldet – nicht fristgerecht geleistet, gebühren für den offenen Betrag, vom Ende der Zahlungsfrist an, Zinsen in gesetzlicher Höhe zwischen Unternehmern.</w:t>
            </w:r>
          </w:p>
        </w:tc>
      </w:tr>
      <w:tr w:rsidR="00F42D7E" w:rsidRPr="000B0ACC" w14:paraId="24FF762A" w14:textId="77777777" w:rsidTr="00F42D7E">
        <w:tc>
          <w:tcPr>
            <w:tcW w:w="9498" w:type="dxa"/>
          </w:tcPr>
          <w:p w14:paraId="1F31F5CF" w14:textId="3FE87740" w:rsidR="00F42D7E" w:rsidRPr="001B3879" w:rsidRDefault="00F42D7E" w:rsidP="006B411E">
            <w:pPr>
              <w:pStyle w:val="Listenabsatz"/>
              <w:numPr>
                <w:ilvl w:val="1"/>
                <w:numId w:val="2"/>
              </w:numPr>
              <w:rPr>
                <w:rFonts w:ascii="Arial" w:hAnsi="Arial" w:cs="Arial"/>
                <w:sz w:val="22"/>
                <w:szCs w:val="22"/>
              </w:rPr>
            </w:pPr>
            <w:r w:rsidRPr="001B3879">
              <w:rPr>
                <w:rFonts w:ascii="Arial" w:eastAsia="Times New Roman" w:hAnsi="Arial" w:cs="Arial"/>
                <w:sz w:val="22"/>
                <w:szCs w:val="22"/>
              </w:rPr>
              <w:t>Soweit nicht ausdrücklich in gegenständlicher Vereinbarung festgelegt, sind weitergehende Zahlungsansprüche zwischen den Parteien wechselseitig ausgeschlossen.</w:t>
            </w:r>
          </w:p>
        </w:tc>
      </w:tr>
      <w:tr w:rsidR="00F42D7E" w:rsidRPr="000B0ACC" w14:paraId="1A086C50" w14:textId="77777777" w:rsidTr="00F42D7E">
        <w:tc>
          <w:tcPr>
            <w:tcW w:w="9498" w:type="dxa"/>
          </w:tcPr>
          <w:p w14:paraId="753768E8" w14:textId="570FB0CC" w:rsidR="00F42D7E" w:rsidRPr="006B411E" w:rsidRDefault="00F42D7E" w:rsidP="006B411E">
            <w:pPr>
              <w:pStyle w:val="Listenabsatz"/>
              <w:numPr>
                <w:ilvl w:val="0"/>
                <w:numId w:val="2"/>
              </w:numPr>
              <w:jc w:val="center"/>
              <w:rPr>
                <w:rStyle w:val="ce840541"/>
              </w:rPr>
            </w:pPr>
            <w:r>
              <w:rPr>
                <w:rStyle w:val="ce840541"/>
              </w:rPr>
              <w:t>Grundsätze der Zusammenarbeit</w:t>
            </w:r>
          </w:p>
        </w:tc>
      </w:tr>
      <w:tr w:rsidR="00F42D7E" w:rsidRPr="007A5E04" w14:paraId="63278498" w14:textId="77777777" w:rsidTr="00F42D7E">
        <w:tc>
          <w:tcPr>
            <w:tcW w:w="9498" w:type="dxa"/>
          </w:tcPr>
          <w:p w14:paraId="6AC48B97" w14:textId="4E71F764" w:rsidR="00F42D7E" w:rsidRPr="007A5E04" w:rsidRDefault="00F42D7E" w:rsidP="007A5E04">
            <w:pPr>
              <w:pStyle w:val="Listenabsatz"/>
              <w:numPr>
                <w:ilvl w:val="1"/>
                <w:numId w:val="2"/>
              </w:numPr>
              <w:rPr>
                <w:rFonts w:eastAsia="Times New Roman"/>
                <w:b/>
                <w:bCs/>
              </w:rPr>
            </w:pPr>
            <w:r>
              <w:rPr>
                <w:rFonts w:ascii="Arial" w:eastAsia="Times New Roman" w:hAnsi="Arial" w:cs="Arial"/>
                <w:sz w:val="22"/>
                <w:szCs w:val="22"/>
              </w:rPr>
              <w:t>Insbesondere i</w:t>
            </w:r>
            <w:r w:rsidRPr="00A86E94">
              <w:rPr>
                <w:rFonts w:ascii="Arial" w:eastAsia="Times New Roman" w:hAnsi="Arial" w:cs="Arial"/>
                <w:sz w:val="22"/>
                <w:szCs w:val="22"/>
              </w:rPr>
              <w:t xml:space="preserve">m Lichte der Komplexität </w:t>
            </w:r>
            <w:r>
              <w:rPr>
                <w:rFonts w:ascii="Arial" w:eastAsia="Times New Roman" w:hAnsi="Arial" w:cs="Arial"/>
                <w:sz w:val="22"/>
                <w:szCs w:val="22"/>
              </w:rPr>
              <w:t xml:space="preserve">des Gegenstandes der Vereinbarung </w:t>
            </w:r>
            <w:r w:rsidRPr="00A86E94">
              <w:rPr>
                <w:rFonts w:ascii="Arial" w:eastAsia="Times New Roman" w:hAnsi="Arial" w:cs="Arial"/>
                <w:sz w:val="22"/>
                <w:szCs w:val="22"/>
              </w:rPr>
              <w:t>verpflichten sich die Parteien stets zu einer partnerschaftlichen Zusammenarbeit, sodass die Parteien nach dem Grundsatz von Treu und Glaube alles zu tun haben, was zur Erfüllung</w:t>
            </w:r>
            <w:r>
              <w:rPr>
                <w:rFonts w:ascii="Arial" w:eastAsia="Times New Roman" w:hAnsi="Arial" w:cs="Arial"/>
                <w:sz w:val="22"/>
                <w:szCs w:val="22"/>
              </w:rPr>
              <w:t xml:space="preserve"> des Gegenstands der Vereinbarung </w:t>
            </w:r>
            <w:r w:rsidRPr="00A86E94">
              <w:rPr>
                <w:rFonts w:ascii="Arial" w:eastAsia="Times New Roman" w:hAnsi="Arial" w:cs="Arial"/>
                <w:sz w:val="22"/>
                <w:szCs w:val="22"/>
              </w:rPr>
              <w:t>erforderlich ist.</w:t>
            </w:r>
            <w:r w:rsidRPr="002431CD">
              <w:rPr>
                <w:rFonts w:ascii="Arial" w:eastAsia="Times New Roman" w:hAnsi="Arial" w:cs="Arial"/>
                <w:sz w:val="22"/>
                <w:szCs w:val="22"/>
              </w:rPr>
              <w:t xml:space="preserve"> </w:t>
            </w:r>
          </w:p>
        </w:tc>
      </w:tr>
      <w:tr w:rsidR="00F42D7E" w:rsidRPr="007A5E04" w14:paraId="333B5847" w14:textId="77777777" w:rsidTr="00F42D7E">
        <w:tc>
          <w:tcPr>
            <w:tcW w:w="9498" w:type="dxa"/>
          </w:tcPr>
          <w:p w14:paraId="42008208" w14:textId="052CA45A" w:rsidR="00F42D7E" w:rsidRDefault="00F42D7E" w:rsidP="007A5E04">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Die Parteien halten ausdrücklich fest, dass sie wechselseitig die allgemeinen gesetzlichen und vertraglichen Treue-, Schutz- und Aufklärungspflichten treffen.</w:t>
            </w:r>
          </w:p>
        </w:tc>
      </w:tr>
      <w:tr w:rsidR="00F42D7E" w:rsidRPr="007A5E04" w14:paraId="72FEE43A" w14:textId="77777777" w:rsidTr="00F42D7E">
        <w:tc>
          <w:tcPr>
            <w:tcW w:w="9498" w:type="dxa"/>
          </w:tcPr>
          <w:p w14:paraId="6F733900" w14:textId="1F6ED3C3" w:rsidR="00F42D7E" w:rsidRDefault="00F42D7E" w:rsidP="007A5E04">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 xml:space="preserve">Die Leistungen der Parteien sind </w:t>
            </w:r>
            <w:r w:rsidRPr="002431CD">
              <w:rPr>
                <w:rFonts w:ascii="Arial" w:eastAsia="Times New Roman" w:hAnsi="Arial" w:cs="Arial"/>
                <w:sz w:val="22"/>
                <w:szCs w:val="22"/>
              </w:rPr>
              <w:t>stets [</w:t>
            </w:r>
            <w:r w:rsidRPr="002431CD">
              <w:rPr>
                <w:rFonts w:ascii="Arial" w:eastAsia="Times New Roman" w:hAnsi="Arial" w:cs="Arial"/>
                <w:sz w:val="22"/>
                <w:szCs w:val="22"/>
                <w:highlight w:val="green"/>
              </w:rPr>
              <w:t>professionell, norm- und fachgerecht, sorgfältig und</w:t>
            </w:r>
            <w:r w:rsidRPr="002431CD">
              <w:rPr>
                <w:rFonts w:ascii="Arial" w:eastAsia="Times New Roman" w:hAnsi="Arial" w:cs="Arial"/>
                <w:sz w:val="22"/>
                <w:szCs w:val="22"/>
              </w:rPr>
              <w:t>] im Einklang mit der „best practice der [</w:t>
            </w:r>
            <w:r w:rsidRPr="00EA4D61">
              <w:rPr>
                <w:rFonts w:ascii="Arial" w:eastAsia="Times New Roman" w:hAnsi="Arial" w:cs="Arial"/>
                <w:sz w:val="22"/>
                <w:szCs w:val="22"/>
                <w:highlight w:val="cyan"/>
              </w:rPr>
              <w:t>Forschung</w:t>
            </w:r>
            <w:r>
              <w:rPr>
                <w:rFonts w:ascii="Arial" w:eastAsia="Times New Roman" w:hAnsi="Arial" w:cs="Arial"/>
                <w:sz w:val="22"/>
                <w:szCs w:val="22"/>
              </w:rPr>
              <w:t xml:space="preserve">/ </w:t>
            </w:r>
            <w:r w:rsidRPr="00EA4D61">
              <w:rPr>
                <w:rFonts w:ascii="Arial" w:eastAsia="Times New Roman" w:hAnsi="Arial" w:cs="Arial"/>
                <w:sz w:val="22"/>
                <w:szCs w:val="22"/>
                <w:highlight w:val="green"/>
              </w:rPr>
              <w:t>Industrie</w:t>
            </w:r>
            <w:r w:rsidRPr="002431CD">
              <w:rPr>
                <w:rFonts w:ascii="Arial" w:eastAsia="Times New Roman" w:hAnsi="Arial" w:cs="Arial"/>
                <w:sz w:val="22"/>
                <w:szCs w:val="22"/>
              </w:rPr>
              <w:t>]“ und in Übereinstimmung mit den anwendbaren rechtlichen Vorgaben sowie den gewöhnlich vorausgesetzten und/ oder</w:t>
            </w:r>
            <w:r>
              <w:rPr>
                <w:rFonts w:ascii="Arial" w:eastAsia="Times New Roman" w:hAnsi="Arial" w:cs="Arial"/>
                <w:sz w:val="22"/>
                <w:szCs w:val="22"/>
              </w:rPr>
              <w:t xml:space="preserve"> vereinbarten </w:t>
            </w:r>
            <w:r w:rsidRPr="002431CD">
              <w:rPr>
                <w:rFonts w:ascii="Arial" w:eastAsia="Times New Roman" w:hAnsi="Arial" w:cs="Arial"/>
                <w:sz w:val="22"/>
                <w:szCs w:val="22"/>
              </w:rPr>
              <w:t>Anforderungen zu erbringen. Maßstab dafür ist [</w:t>
            </w:r>
            <w:r w:rsidRPr="002431CD">
              <w:rPr>
                <w:rFonts w:ascii="Arial" w:eastAsia="Times New Roman" w:hAnsi="Arial" w:cs="Arial"/>
                <w:sz w:val="22"/>
                <w:szCs w:val="22"/>
                <w:highlight w:val="green"/>
              </w:rPr>
              <w:t>stets der jeweilige Zeitpunkt der Leistungserbringung</w:t>
            </w:r>
            <w:r w:rsidRPr="002431CD">
              <w:rPr>
                <w:rFonts w:ascii="Arial" w:eastAsia="Times New Roman" w:hAnsi="Arial" w:cs="Arial"/>
                <w:sz w:val="22"/>
                <w:szCs w:val="22"/>
              </w:rPr>
              <w:t>] [</w:t>
            </w:r>
            <w:r w:rsidRPr="002431CD">
              <w:rPr>
                <w:rFonts w:ascii="Arial" w:eastAsia="Times New Roman" w:hAnsi="Arial" w:cs="Arial"/>
                <w:sz w:val="22"/>
                <w:szCs w:val="22"/>
                <w:highlight w:val="cyan"/>
              </w:rPr>
              <w:t>der Zeitpunkt des Abschlusses der Vereinbarung</w:t>
            </w:r>
            <w:r w:rsidRPr="002431CD">
              <w:rPr>
                <w:rFonts w:ascii="Arial" w:eastAsia="Times New Roman" w:hAnsi="Arial" w:cs="Arial"/>
                <w:sz w:val="22"/>
                <w:szCs w:val="22"/>
              </w:rPr>
              <w:t>].</w:t>
            </w:r>
          </w:p>
        </w:tc>
      </w:tr>
      <w:tr w:rsidR="00F42D7E" w:rsidRPr="000B0ACC" w14:paraId="06E61AB1" w14:textId="77777777" w:rsidTr="00F42D7E">
        <w:tc>
          <w:tcPr>
            <w:tcW w:w="9498" w:type="dxa"/>
          </w:tcPr>
          <w:p w14:paraId="06432148" w14:textId="405F3525" w:rsidR="00F42D7E" w:rsidRPr="001B3879" w:rsidRDefault="00F42D7E" w:rsidP="006B411E">
            <w:pPr>
              <w:pStyle w:val="Listenabsatz"/>
              <w:numPr>
                <w:ilvl w:val="0"/>
                <w:numId w:val="2"/>
              </w:numPr>
              <w:jc w:val="center"/>
              <w:rPr>
                <w:rFonts w:ascii="Arial" w:eastAsia="Times New Roman" w:hAnsi="Arial" w:cs="Arial"/>
                <w:sz w:val="22"/>
                <w:szCs w:val="22"/>
              </w:rPr>
            </w:pPr>
            <w:r w:rsidRPr="006B411E">
              <w:rPr>
                <w:rStyle w:val="ce840541"/>
              </w:rPr>
              <w:t>Haftung</w:t>
            </w:r>
            <w:r>
              <w:rPr>
                <w:rStyle w:val="ce840541"/>
              </w:rPr>
              <w:t>sbestimmungen</w:t>
            </w:r>
          </w:p>
        </w:tc>
      </w:tr>
      <w:tr w:rsidR="00F42D7E" w:rsidRPr="000B0ACC" w14:paraId="5DA92D10" w14:textId="77777777" w:rsidTr="00F42D7E">
        <w:tc>
          <w:tcPr>
            <w:tcW w:w="9498" w:type="dxa"/>
          </w:tcPr>
          <w:p w14:paraId="2F996CED" w14:textId="23FA37A4" w:rsidR="00F42D7E" w:rsidRPr="006B411E" w:rsidRDefault="00F42D7E" w:rsidP="006B411E">
            <w:pPr>
              <w:pStyle w:val="Listenabsatz"/>
              <w:numPr>
                <w:ilvl w:val="1"/>
                <w:numId w:val="2"/>
              </w:numPr>
              <w:rPr>
                <w:b/>
                <w:bCs/>
              </w:rPr>
            </w:pPr>
            <w:r w:rsidRPr="001B3879">
              <w:rPr>
                <w:rFonts w:ascii="Arial" w:hAnsi="Arial" w:cs="Arial"/>
                <w:sz w:val="22"/>
                <w:szCs w:val="22"/>
              </w:rPr>
              <w:t>Den Parteien ist bewusst, dass es möglich ist, dass – trotz Einhaltung aller Sorgfaltspflichten – die Parteien aus unvorhersehbaren Gründen nicht in der Lage sein könnten, entsprechende gleichwertige (sowohl in quantitativer als auch qualitativer Hinsicht) Daten zu ermitteln. Dementsprechend schulden die Parteien diesbezüglich ausschließlich ein Bemühen nach Kräften.</w:t>
            </w:r>
          </w:p>
        </w:tc>
      </w:tr>
      <w:tr w:rsidR="00F42D7E" w:rsidRPr="000B0ACC" w14:paraId="3600083D" w14:textId="77777777" w:rsidTr="00F42D7E">
        <w:tc>
          <w:tcPr>
            <w:tcW w:w="9498" w:type="dxa"/>
          </w:tcPr>
          <w:p w14:paraId="5E8DB0A5" w14:textId="5B085685" w:rsidR="00F42D7E" w:rsidRPr="001B3879" w:rsidRDefault="00F42D7E" w:rsidP="006B411E">
            <w:pPr>
              <w:pStyle w:val="Listenabsatz"/>
              <w:numPr>
                <w:ilvl w:val="1"/>
                <w:numId w:val="2"/>
              </w:numPr>
              <w:rPr>
                <w:rFonts w:ascii="Arial" w:hAnsi="Arial" w:cs="Arial"/>
                <w:sz w:val="22"/>
                <w:szCs w:val="22"/>
              </w:rPr>
            </w:pPr>
            <w:r w:rsidRPr="001B3879">
              <w:rPr>
                <w:rFonts w:ascii="Arial" w:hAnsi="Arial" w:cs="Arial"/>
                <w:sz w:val="22"/>
                <w:szCs w:val="22"/>
              </w:rPr>
              <w:t xml:space="preserve">Auf die Erstellung der Gesundheitsdatenbank auf Basis der Rohdaten und auf die Erstellung der </w:t>
            </w:r>
            <w:r>
              <w:rPr>
                <w:rFonts w:ascii="Arial" w:hAnsi="Arial" w:cs="Arial"/>
                <w:sz w:val="22"/>
                <w:szCs w:val="22"/>
              </w:rPr>
              <w:t>O</w:t>
            </w:r>
            <w:r w:rsidRPr="001B3879">
              <w:rPr>
                <w:rFonts w:ascii="Arial" w:hAnsi="Arial" w:cs="Arial"/>
                <w:sz w:val="22"/>
                <w:szCs w:val="22"/>
              </w:rPr>
              <w:t>nline-Gesundheitsdatenbank kommen ergänzend zur Vereinbarung die Regelungen zum Vertragstyp des Werkvertrags zur Anwendung.</w:t>
            </w:r>
          </w:p>
        </w:tc>
      </w:tr>
      <w:tr w:rsidR="00F42D7E" w:rsidRPr="000B0ACC" w14:paraId="4B6B243E" w14:textId="77777777" w:rsidTr="00F42D7E">
        <w:tc>
          <w:tcPr>
            <w:tcW w:w="9498" w:type="dxa"/>
          </w:tcPr>
          <w:p w14:paraId="1D35A49F" w14:textId="69EC070D" w:rsidR="00F42D7E" w:rsidRPr="001B3879" w:rsidRDefault="00F42D7E" w:rsidP="006B411E">
            <w:pPr>
              <w:pStyle w:val="Listenabsatz"/>
              <w:numPr>
                <w:ilvl w:val="1"/>
                <w:numId w:val="2"/>
              </w:numPr>
              <w:rPr>
                <w:rFonts w:ascii="Arial" w:hAnsi="Arial" w:cs="Arial"/>
                <w:sz w:val="22"/>
                <w:szCs w:val="22"/>
              </w:rPr>
            </w:pPr>
            <w:r w:rsidRPr="001B3879">
              <w:rPr>
                <w:rFonts w:ascii="Arial" w:eastAsia="Times New Roman" w:hAnsi="Arial" w:cs="Arial"/>
                <w:sz w:val="22"/>
                <w:szCs w:val="22"/>
              </w:rPr>
              <w:t>Die</w:t>
            </w:r>
            <w:r>
              <w:rPr>
                <w:rFonts w:ascii="Arial" w:eastAsia="Times New Roman" w:hAnsi="Arial" w:cs="Arial"/>
                <w:sz w:val="22"/>
                <w:szCs w:val="22"/>
              </w:rPr>
              <w:t xml:space="preserve"> Parteien </w:t>
            </w:r>
            <w:r w:rsidRPr="001B3879">
              <w:rPr>
                <w:rFonts w:ascii="Arial" w:eastAsia="Times New Roman" w:hAnsi="Arial" w:cs="Arial"/>
                <w:sz w:val="22"/>
                <w:szCs w:val="22"/>
              </w:rPr>
              <w:t>garantier</w:t>
            </w:r>
            <w:r>
              <w:rPr>
                <w:rFonts w:ascii="Arial" w:eastAsia="Times New Roman" w:hAnsi="Arial" w:cs="Arial"/>
                <w:sz w:val="22"/>
                <w:szCs w:val="22"/>
              </w:rPr>
              <w:t>en</w:t>
            </w:r>
            <w:r w:rsidRPr="001B3879">
              <w:rPr>
                <w:rFonts w:ascii="Arial" w:eastAsia="Times New Roman" w:hAnsi="Arial" w:cs="Arial"/>
                <w:sz w:val="22"/>
                <w:szCs w:val="22"/>
              </w:rPr>
              <w:t xml:space="preserve">, über die entsprechenden Rechte bzw. Berechtigungen </w:t>
            </w:r>
            <w:r>
              <w:rPr>
                <w:rFonts w:ascii="Arial" w:eastAsia="Times New Roman" w:hAnsi="Arial" w:cs="Arial"/>
                <w:sz w:val="22"/>
                <w:szCs w:val="22"/>
              </w:rPr>
              <w:t xml:space="preserve">zur Leistungserbringung </w:t>
            </w:r>
            <w:r w:rsidRPr="001B3879">
              <w:rPr>
                <w:rFonts w:ascii="Arial" w:eastAsia="Times New Roman" w:hAnsi="Arial" w:cs="Arial"/>
                <w:sz w:val="22"/>
                <w:szCs w:val="22"/>
              </w:rPr>
              <w:t>gemäß der Vereinbarung zu verfügen. Das bezieht sich insbesondere darauf, dass nicht in Schutzrechte Dritter unmittelbar oder mittelbar eingegriffen wird, also entweder solche nicht bestehen oder umfassend von den Dritten eingeräumt wurden. [</w:t>
            </w:r>
            <w:r w:rsidRPr="001B3879">
              <w:rPr>
                <w:rFonts w:ascii="Arial" w:eastAsia="Times New Roman" w:hAnsi="Arial" w:cs="Arial"/>
                <w:sz w:val="22"/>
                <w:szCs w:val="22"/>
                <w:highlight w:val="green"/>
              </w:rPr>
              <w:t>Sollten Dritte Ansprüche wegen Rechtsverletzungen aufgrund eines Verstoßes gegen Bestimmungen dieser Vereinbarung geltend machen, so</w:t>
            </w:r>
            <w:r>
              <w:rPr>
                <w:rFonts w:ascii="Arial" w:eastAsia="Times New Roman" w:hAnsi="Arial" w:cs="Arial"/>
                <w:sz w:val="22"/>
                <w:szCs w:val="22"/>
                <w:highlight w:val="green"/>
              </w:rPr>
              <w:t xml:space="preserve"> sind die Parteien wechselseitig </w:t>
            </w:r>
            <w:r w:rsidRPr="001B3879">
              <w:rPr>
                <w:rFonts w:ascii="Arial" w:eastAsia="Times New Roman" w:hAnsi="Arial" w:cs="Arial"/>
                <w:sz w:val="22"/>
                <w:szCs w:val="22"/>
                <w:highlight w:val="green"/>
              </w:rPr>
              <w:t>verpflichtet,</w:t>
            </w:r>
            <w:r>
              <w:rPr>
                <w:rFonts w:ascii="Arial" w:eastAsia="Times New Roman" w:hAnsi="Arial" w:cs="Arial"/>
                <w:sz w:val="22"/>
                <w:szCs w:val="22"/>
                <w:highlight w:val="green"/>
              </w:rPr>
              <w:t xml:space="preserve"> die andere Partei </w:t>
            </w:r>
            <w:r w:rsidRPr="001B3879">
              <w:rPr>
                <w:rFonts w:ascii="Arial" w:eastAsia="Times New Roman" w:hAnsi="Arial" w:cs="Arial"/>
                <w:sz w:val="22"/>
                <w:szCs w:val="22"/>
                <w:highlight w:val="green"/>
              </w:rPr>
              <w:t>auf erstes Anfordern hiervon verschuldensunabhängig freizustellen.</w:t>
            </w:r>
            <w:r w:rsidRPr="001B3879">
              <w:rPr>
                <w:rFonts w:ascii="Arial" w:eastAsia="Times New Roman" w:hAnsi="Arial" w:cs="Arial"/>
                <w:sz w:val="22"/>
                <w:szCs w:val="22"/>
              </w:rPr>
              <w:t>]</w:t>
            </w:r>
          </w:p>
        </w:tc>
      </w:tr>
      <w:tr w:rsidR="00F42D7E" w:rsidRPr="000B0ACC" w14:paraId="1CF8DA94" w14:textId="77777777" w:rsidTr="00F42D7E">
        <w:tc>
          <w:tcPr>
            <w:tcW w:w="9498" w:type="dxa"/>
          </w:tcPr>
          <w:p w14:paraId="0FCCA7BB" w14:textId="191C8922" w:rsidR="00F42D7E" w:rsidRPr="001B3879" w:rsidRDefault="00F42D7E" w:rsidP="006B411E">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Die Parteien werden sich wechselseitig über jede ihnen bekannt gewordene und/ oder vermutete und/ oder behauptete Verletzung eines Schutzrechtes im Zusammenhang mit</w:t>
            </w:r>
            <w:r>
              <w:rPr>
                <w:rFonts w:ascii="Arial" w:eastAsia="Times New Roman" w:hAnsi="Arial" w:cs="Arial"/>
                <w:sz w:val="22"/>
                <w:szCs w:val="22"/>
              </w:rPr>
              <w:t xml:space="preserve"> dieser Vereinbarung </w:t>
            </w:r>
            <w:r w:rsidRPr="006B411E">
              <w:rPr>
                <w:rFonts w:ascii="Arial" w:eastAsia="Times New Roman" w:hAnsi="Arial" w:cs="Arial"/>
                <w:sz w:val="22"/>
                <w:szCs w:val="22"/>
              </w:rPr>
              <w:t>informieren. Eine in Anspruch genommene Partei wird sich hinsichtlich des weiteren Vorgehens mit der anderen Partei</w:t>
            </w:r>
            <w:r w:rsidRPr="001B3879">
              <w:rPr>
                <w:rFonts w:ascii="Arial" w:eastAsia="Times New Roman" w:hAnsi="Arial" w:cs="Arial"/>
                <w:sz w:val="22"/>
                <w:szCs w:val="22"/>
              </w:rPr>
              <w:t xml:space="preserve"> abstimmen. Die andere Partei ist – soweit zulässig – berechtigt, sich den entsprechenden Verfahren anzuschließen oder in diese einzutreten. Der Abschluss von Vergleichen sowie die Abstandnahme der Fortführung eines derartigen Verfahrens bedürfen der Zustimmung der anderen Partei, soweit dies Rechtsfolgen für die andere Partei haben könnte.</w:t>
            </w:r>
          </w:p>
        </w:tc>
      </w:tr>
      <w:tr w:rsidR="00F42D7E" w:rsidRPr="000B0ACC" w14:paraId="20852E38" w14:textId="77777777" w:rsidTr="00F42D7E">
        <w:tc>
          <w:tcPr>
            <w:tcW w:w="9498" w:type="dxa"/>
          </w:tcPr>
          <w:p w14:paraId="57D5313D" w14:textId="1ED77CA7" w:rsidR="00F42D7E" w:rsidRPr="001B3879" w:rsidRDefault="00F42D7E" w:rsidP="006B411E">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Sollte tatsächlich eine Verletzung von Rechten Dritter im Zusammenhang mit</w:t>
            </w:r>
            <w:r>
              <w:rPr>
                <w:rFonts w:ascii="Arial" w:eastAsia="Times New Roman" w:hAnsi="Arial" w:cs="Arial"/>
                <w:sz w:val="22"/>
                <w:szCs w:val="22"/>
              </w:rPr>
              <w:t xml:space="preserve"> der Leistungserbringung</w:t>
            </w:r>
            <w:r w:rsidRPr="001B3879">
              <w:rPr>
                <w:rFonts w:ascii="Arial" w:eastAsia="Times New Roman" w:hAnsi="Arial" w:cs="Arial"/>
                <w:sz w:val="22"/>
                <w:szCs w:val="22"/>
              </w:rPr>
              <w:t xml:space="preserve"> eingetreten sein, wobei dies auch dann als gegeben anzusehen ist, wenn ein SV-Audit </w:t>
            </w:r>
            <w:r w:rsidRPr="001B3879">
              <w:rPr>
                <w:rFonts w:ascii="Arial" w:eastAsia="Times New Roman" w:hAnsi="Arial" w:cs="Arial"/>
                <w:sz w:val="22"/>
                <w:szCs w:val="22"/>
                <w:highlight w:val="red"/>
              </w:rPr>
              <w:t>(siehe Punkt 9)</w:t>
            </w:r>
            <w:r w:rsidRPr="001B3879">
              <w:rPr>
                <w:rFonts w:ascii="Arial" w:eastAsia="Times New Roman" w:hAnsi="Arial" w:cs="Arial"/>
                <w:sz w:val="22"/>
                <w:szCs w:val="22"/>
              </w:rPr>
              <w:t xml:space="preserve"> zu diesem Ergebnis kommt, gilt: </w:t>
            </w:r>
            <w:r>
              <w:rPr>
                <w:rFonts w:ascii="Arial" w:eastAsia="Times New Roman" w:hAnsi="Arial" w:cs="Arial"/>
                <w:sz w:val="22"/>
                <w:szCs w:val="22"/>
              </w:rPr>
              <w:t>D</w:t>
            </w:r>
            <w:r w:rsidRPr="001B3879">
              <w:rPr>
                <w:rFonts w:ascii="Arial" w:eastAsia="Times New Roman" w:hAnsi="Arial" w:cs="Arial"/>
                <w:sz w:val="22"/>
                <w:szCs w:val="22"/>
              </w:rPr>
              <w:t>ie</w:t>
            </w:r>
            <w:r>
              <w:rPr>
                <w:rFonts w:ascii="Arial" w:eastAsia="Times New Roman" w:hAnsi="Arial" w:cs="Arial"/>
                <w:sz w:val="22"/>
                <w:szCs w:val="22"/>
              </w:rPr>
              <w:t xml:space="preserve"> die Leistung erbringende Partei soll </w:t>
            </w:r>
            <w:r w:rsidRPr="001B3879">
              <w:rPr>
                <w:rFonts w:ascii="Arial" w:eastAsia="Times New Roman" w:hAnsi="Arial" w:cs="Arial"/>
                <w:sz w:val="22"/>
                <w:szCs w:val="22"/>
              </w:rPr>
              <w:t>[</w:t>
            </w:r>
            <w:r w:rsidRPr="001B3879">
              <w:rPr>
                <w:rFonts w:ascii="Arial" w:eastAsia="Times New Roman" w:hAnsi="Arial" w:cs="Arial"/>
                <w:sz w:val="22"/>
                <w:szCs w:val="22"/>
                <w:highlight w:val="cyan"/>
              </w:rPr>
              <w:t>soweit zumutbar und technisch möglich</w:t>
            </w:r>
            <w:r w:rsidRPr="001B3879">
              <w:rPr>
                <w:rFonts w:ascii="Arial" w:eastAsia="Times New Roman" w:hAnsi="Arial" w:cs="Arial"/>
                <w:sz w:val="22"/>
                <w:szCs w:val="22"/>
              </w:rPr>
              <w:t>] auf ihre Kosten eine Alternative, die frei von Rechten Dritter ist, einsetzen [</w:t>
            </w:r>
            <w:r w:rsidRPr="001B3879">
              <w:rPr>
                <w:rFonts w:ascii="Arial" w:eastAsia="Times New Roman" w:hAnsi="Arial" w:cs="Arial"/>
                <w:sz w:val="22"/>
                <w:szCs w:val="22"/>
                <w:highlight w:val="green"/>
              </w:rPr>
              <w:t>und</w:t>
            </w:r>
            <w:r>
              <w:rPr>
                <w:rFonts w:ascii="Arial" w:eastAsia="Times New Roman" w:hAnsi="Arial" w:cs="Arial"/>
                <w:sz w:val="22"/>
                <w:szCs w:val="22"/>
                <w:highlight w:val="green"/>
              </w:rPr>
              <w:t xml:space="preserve"> die andere Partei </w:t>
            </w:r>
            <w:r w:rsidRPr="001B3879">
              <w:rPr>
                <w:rFonts w:ascii="Arial" w:eastAsia="Times New Roman" w:hAnsi="Arial" w:cs="Arial"/>
                <w:sz w:val="22"/>
                <w:szCs w:val="22"/>
                <w:highlight w:val="green"/>
              </w:rPr>
              <w:t xml:space="preserve">diesbezüglich </w:t>
            </w:r>
            <w:r w:rsidRPr="001B3879">
              <w:rPr>
                <w:rFonts w:ascii="Arial" w:eastAsia="Times New Roman" w:hAnsi="Arial" w:cs="Arial"/>
                <w:sz w:val="22"/>
                <w:szCs w:val="22"/>
                <w:highlight w:val="green"/>
              </w:rPr>
              <w:lastRenderedPageBreak/>
              <w:t>verschuldensunabhängig schad- und klaglos halten</w:t>
            </w:r>
            <w:r w:rsidRPr="001B3879">
              <w:rPr>
                <w:rFonts w:ascii="Arial" w:eastAsia="Times New Roman" w:hAnsi="Arial" w:cs="Arial"/>
                <w:sz w:val="22"/>
                <w:szCs w:val="22"/>
              </w:rPr>
              <w:t>]. Hinsichtlich der Alternativen gelten die Anforderungen dieser Vereinbarung sinngemäß.</w:t>
            </w:r>
          </w:p>
        </w:tc>
      </w:tr>
      <w:tr w:rsidR="00F42D7E" w:rsidRPr="000B0ACC" w14:paraId="2ADCC96D" w14:textId="77777777" w:rsidTr="00F42D7E">
        <w:tc>
          <w:tcPr>
            <w:tcW w:w="9498" w:type="dxa"/>
          </w:tcPr>
          <w:p w14:paraId="64B38E4E" w14:textId="4FFEA9DC" w:rsidR="00F42D7E" w:rsidRPr="001B3879" w:rsidRDefault="00F42D7E" w:rsidP="006B411E">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lastRenderedPageBreak/>
              <w:t>Soweit die Parteien ihre in dieser Vereinbarung ausdrücklich erklärten Garantien nicht einhalten, halten sie einander verschuldensunabhängig gänzlich schad- und klaglos.</w:t>
            </w:r>
          </w:p>
        </w:tc>
      </w:tr>
      <w:tr w:rsidR="00F42D7E" w:rsidRPr="000B0ACC" w14:paraId="2943CE66" w14:textId="77777777" w:rsidTr="00F42D7E">
        <w:tc>
          <w:tcPr>
            <w:tcW w:w="9498" w:type="dxa"/>
          </w:tcPr>
          <w:p w14:paraId="36B6E263" w14:textId="6FFB24A8" w:rsidR="00F42D7E" w:rsidRPr="001B3879" w:rsidRDefault="00F42D7E" w:rsidP="006B411E">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Soweit in der Vereinbarung nicht ausdrücklich anders festgehalten haften die Parteien nach den gesetzlichen Vorschriften.</w:t>
            </w:r>
          </w:p>
        </w:tc>
      </w:tr>
      <w:tr w:rsidR="00F42D7E" w:rsidRPr="000B0ACC" w14:paraId="7589F0B1" w14:textId="77777777" w:rsidTr="00F42D7E">
        <w:tc>
          <w:tcPr>
            <w:tcW w:w="9498" w:type="dxa"/>
          </w:tcPr>
          <w:p w14:paraId="1ACF2D5C" w14:textId="593D5A6B" w:rsidR="00F42D7E" w:rsidRPr="001B3879" w:rsidRDefault="00F42D7E" w:rsidP="006B411E">
            <w:pPr>
              <w:pStyle w:val="Listenabsatz"/>
              <w:numPr>
                <w:ilvl w:val="1"/>
                <w:numId w:val="2"/>
              </w:numPr>
              <w:rPr>
                <w:rFonts w:ascii="Arial" w:eastAsia="Times New Roman" w:hAnsi="Arial" w:cs="Arial"/>
                <w:sz w:val="22"/>
                <w:szCs w:val="22"/>
              </w:rPr>
            </w:pPr>
            <w:r w:rsidRPr="001B3879">
              <w:rPr>
                <w:rFonts w:ascii="Arial" w:eastAsia="Times New Roman" w:hAnsi="Arial" w:cs="Arial"/>
                <w:sz w:val="22"/>
                <w:szCs w:val="22"/>
              </w:rPr>
              <w:t>Die Parteien stellen einander hinsichtlich der Verarbeitung der Daten der Betroffenen im Inn</w:t>
            </w:r>
            <w:r>
              <w:rPr>
                <w:rFonts w:ascii="Arial" w:eastAsia="Times New Roman" w:hAnsi="Arial" w:cs="Arial"/>
                <w:sz w:val="22"/>
                <w:szCs w:val="22"/>
              </w:rPr>
              <w:t>en</w:t>
            </w:r>
            <w:r w:rsidRPr="001B3879">
              <w:rPr>
                <w:rFonts w:ascii="Arial" w:eastAsia="Times New Roman" w:hAnsi="Arial" w:cs="Arial"/>
                <w:sz w:val="22"/>
                <w:szCs w:val="22"/>
              </w:rPr>
              <w:t>verhältnis von jeglicher Haftung frei, soweit sie jeweils Anteil an der Verantwortung für die haftungsauslösende Ursache tragen. Das gilt auch im Hinblick auf eine gegen eine Partei etwa verhängte Geldbuße wegen eines Verstoßes gegen Datenschutzvorschriften mit der Maßgabe, dass die mit der Geldbuße belegte Partei zunächst die Rechtsmittel gegen den Bußgeldbescheid ausgeschöpft haben muss. Bleibt die jeweilige Partei danach ganz oder teilweise mit einer Geldbuße belastet, die nicht ihrem internen Anteil an der Verantwortung für den Verstoß entspricht, ist die jeweils andere Partei verpflichtet, sie von der Geldbuße in dem Umfang freizustellen, in dem die andere Partei Anteil an der Verantwortung für den durch die Geldbuße sanktionierten Verstoß trägt.</w:t>
            </w:r>
          </w:p>
        </w:tc>
      </w:tr>
      <w:tr w:rsidR="00F42D7E" w:rsidRPr="000B0ACC" w14:paraId="690B1A57" w14:textId="77777777" w:rsidTr="00F42D7E">
        <w:tc>
          <w:tcPr>
            <w:tcW w:w="9498" w:type="dxa"/>
          </w:tcPr>
          <w:p w14:paraId="42C6E21F" w14:textId="771C09C4" w:rsidR="00F42D7E" w:rsidRPr="007A5E04" w:rsidRDefault="00F42D7E" w:rsidP="007A5E04">
            <w:pPr>
              <w:pStyle w:val="Listenabsatz"/>
              <w:numPr>
                <w:ilvl w:val="0"/>
                <w:numId w:val="2"/>
              </w:numPr>
              <w:jc w:val="center"/>
              <w:rPr>
                <w:rFonts w:ascii="Arial" w:eastAsia="Times New Roman" w:hAnsi="Arial" w:cs="Arial"/>
                <w:sz w:val="22"/>
                <w:szCs w:val="22"/>
              </w:rPr>
            </w:pPr>
            <w:r w:rsidRPr="002431CD">
              <w:rPr>
                <w:rStyle w:val="ce840541"/>
              </w:rPr>
              <w:t>GEHEIMHALTUNGS- UND NICHTVERWENDUNGSPFLICHT</w:t>
            </w:r>
          </w:p>
        </w:tc>
      </w:tr>
      <w:tr w:rsidR="00F42D7E" w:rsidRPr="007A5E04" w14:paraId="25E8A8AD" w14:textId="77777777" w:rsidTr="00F42D7E">
        <w:tc>
          <w:tcPr>
            <w:tcW w:w="9498" w:type="dxa"/>
          </w:tcPr>
          <w:p w14:paraId="3474868B" w14:textId="5B789FE3" w:rsidR="00F42D7E" w:rsidRPr="007A5E04" w:rsidRDefault="00F42D7E" w:rsidP="007A5E04">
            <w:pPr>
              <w:pStyle w:val="Listenabsatz"/>
              <w:numPr>
                <w:ilvl w:val="1"/>
                <w:numId w:val="2"/>
              </w:numPr>
              <w:rPr>
                <w:rFonts w:eastAsia="Times New Roman"/>
                <w:b/>
                <w:bCs/>
              </w:rPr>
            </w:pPr>
            <w:r w:rsidRPr="002431CD">
              <w:rPr>
                <w:rFonts w:ascii="Arial" w:eastAsia="Times New Roman" w:hAnsi="Arial" w:cs="Arial"/>
                <w:sz w:val="22"/>
                <w:szCs w:val="22"/>
              </w:rPr>
              <w:t>Es ist davon auszugehen, dass die Parteien im Rahmen (der Erfüllung) dieser Vereinbarung von Betriebs- und Geschäftsgeheimnissen der jeweils anderen Partei Kenntnis erlangen. Die Parteien verpflichten sich daher wechselseitig, sämtliche erhaltenen Betriebs- und Geschäftsgeheimnisse geheim zu halten und ausschließlich zum Zweck der Zusammenarbeit unter dieser Vereinbarung zu verwenden und weder zum eigenen Gebrauch in irgendeiner Art und Weise auszunützen oder ausnützen zu lassen, noch Unbeteiligten ohne vorherige schriftliche Einwilligung der anderen Partei zugänglich zu machen oder dies zu dulden.</w:t>
            </w:r>
          </w:p>
        </w:tc>
      </w:tr>
      <w:tr w:rsidR="00F42D7E" w:rsidRPr="007A5E04" w14:paraId="48E91B84" w14:textId="77777777" w:rsidTr="00F42D7E">
        <w:tc>
          <w:tcPr>
            <w:tcW w:w="9498" w:type="dxa"/>
          </w:tcPr>
          <w:p w14:paraId="0908C8BA" w14:textId="2B645004" w:rsidR="00F42D7E" w:rsidRPr="002431CD" w:rsidRDefault="00F42D7E" w:rsidP="007A5E04">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Die Parteien dürfen Betriebs- und Geschäftsgeheimnisse der anderen Partei an Mitarbeiter ihrer Unternehmen [</w:t>
            </w:r>
            <w:r w:rsidRPr="002431CD">
              <w:rPr>
                <w:rFonts w:ascii="Arial" w:eastAsia="Times New Roman" w:hAnsi="Arial" w:cs="Arial"/>
                <w:sz w:val="22"/>
                <w:szCs w:val="22"/>
                <w:highlight w:val="green"/>
              </w:rPr>
              <w:t>und verbundene Unternehmen</w:t>
            </w:r>
            <w:r w:rsidRPr="002431CD">
              <w:rPr>
                <w:rFonts w:ascii="Arial" w:eastAsia="Times New Roman" w:hAnsi="Arial" w:cs="Arial"/>
                <w:sz w:val="22"/>
                <w:szCs w:val="22"/>
              </w:rPr>
              <w:t>] weitergeben, aber nur soweit diese die Information zur Erbringung</w:t>
            </w:r>
            <w:r>
              <w:rPr>
                <w:rFonts w:ascii="Arial" w:eastAsia="Times New Roman" w:hAnsi="Arial" w:cs="Arial"/>
                <w:sz w:val="22"/>
                <w:szCs w:val="22"/>
              </w:rPr>
              <w:t xml:space="preserve"> der vereinbarungsgemäßen Leistungen </w:t>
            </w:r>
            <w:r w:rsidRPr="002431CD">
              <w:rPr>
                <w:rFonts w:ascii="Arial" w:eastAsia="Times New Roman" w:hAnsi="Arial" w:cs="Arial"/>
                <w:sz w:val="22"/>
                <w:szCs w:val="22"/>
              </w:rPr>
              <w:t>unbedingt benötigen. Die Parteien haben dafür zu sorgen, dass diese Personen, denen derartige Betriebs- und Geschäftsgeheimnisse zugänglich werden können, in zumindest dieser Vereinbarung entsprechender Weise schriftlich zur Geheimhaltung und Nichtverwendung verpflichtet werden, dies auch für die Zeit nach deren Ausscheiden aus dem Unternehmen.</w:t>
            </w:r>
          </w:p>
        </w:tc>
      </w:tr>
      <w:tr w:rsidR="00F42D7E" w:rsidRPr="007A5E04" w14:paraId="4337A6B5" w14:textId="77777777" w:rsidTr="00F42D7E">
        <w:tc>
          <w:tcPr>
            <w:tcW w:w="9498" w:type="dxa"/>
          </w:tcPr>
          <w:p w14:paraId="5C7EA536" w14:textId="77777777" w:rsidR="00F42D7E" w:rsidRDefault="00F42D7E" w:rsidP="007A5E04">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Nicht unter diese Geheimhaltungs- und Nichtverwendungspflicht fallen Informationen, die nachweislich</w:t>
            </w:r>
          </w:p>
          <w:p w14:paraId="7C49A16E" w14:textId="77777777" w:rsidR="00F42D7E" w:rsidRPr="002431CD" w:rsidRDefault="00F42D7E" w:rsidP="007A5E04">
            <w:pPr>
              <w:pStyle w:val="Listenabsatz"/>
              <w:numPr>
                <w:ilvl w:val="0"/>
                <w:numId w:val="14"/>
              </w:numPr>
              <w:ind w:left="744"/>
              <w:rPr>
                <w:rFonts w:ascii="Arial" w:eastAsia="Times New Roman" w:hAnsi="Arial" w:cs="Arial"/>
                <w:sz w:val="22"/>
                <w:szCs w:val="22"/>
              </w:rPr>
            </w:pPr>
            <w:r w:rsidRPr="002431CD">
              <w:rPr>
                <w:rFonts w:ascii="Arial" w:eastAsia="Times New Roman" w:hAnsi="Arial" w:cs="Arial"/>
                <w:sz w:val="22"/>
                <w:szCs w:val="22"/>
              </w:rPr>
              <w:t>der empfangenden Partei bereits vor ihrer Übermittlung bekannt waren;</w:t>
            </w:r>
          </w:p>
          <w:p w14:paraId="2FC3018E" w14:textId="77777777" w:rsidR="00F42D7E" w:rsidRPr="002431CD" w:rsidRDefault="00F42D7E" w:rsidP="007A5E04">
            <w:pPr>
              <w:pStyle w:val="Listenabsatz"/>
              <w:ind w:left="744"/>
              <w:rPr>
                <w:rFonts w:ascii="Arial" w:eastAsia="Times New Roman" w:hAnsi="Arial" w:cs="Arial"/>
                <w:sz w:val="22"/>
                <w:szCs w:val="22"/>
              </w:rPr>
            </w:pPr>
          </w:p>
          <w:p w14:paraId="671F8385" w14:textId="77777777" w:rsidR="00F42D7E" w:rsidRPr="002431CD" w:rsidRDefault="00F42D7E" w:rsidP="007A5E04">
            <w:pPr>
              <w:pStyle w:val="Listenabsatz"/>
              <w:numPr>
                <w:ilvl w:val="0"/>
                <w:numId w:val="14"/>
              </w:numPr>
              <w:ind w:left="744"/>
              <w:rPr>
                <w:rFonts w:ascii="Arial" w:eastAsia="Times New Roman" w:hAnsi="Arial" w:cs="Arial"/>
                <w:sz w:val="22"/>
                <w:szCs w:val="22"/>
              </w:rPr>
            </w:pPr>
            <w:r w:rsidRPr="002431CD">
              <w:rPr>
                <w:rFonts w:ascii="Arial" w:eastAsia="Times New Roman" w:hAnsi="Arial" w:cs="Arial"/>
                <w:sz w:val="22"/>
                <w:szCs w:val="22"/>
              </w:rPr>
              <w:t>zur Zeit ihrer Übermittlung bereits offenkundig waren;</w:t>
            </w:r>
          </w:p>
          <w:p w14:paraId="3F05647A" w14:textId="77777777" w:rsidR="00F42D7E" w:rsidRPr="002431CD" w:rsidRDefault="00F42D7E" w:rsidP="007A5E04">
            <w:pPr>
              <w:pStyle w:val="Listenabsatz"/>
              <w:ind w:left="744"/>
              <w:rPr>
                <w:rFonts w:ascii="Arial" w:eastAsia="Times New Roman" w:hAnsi="Arial" w:cs="Arial"/>
                <w:sz w:val="22"/>
                <w:szCs w:val="22"/>
              </w:rPr>
            </w:pPr>
          </w:p>
          <w:p w14:paraId="4CEC6A05" w14:textId="77777777" w:rsidR="00F42D7E" w:rsidRPr="002431CD" w:rsidRDefault="00F42D7E" w:rsidP="007A5E04">
            <w:pPr>
              <w:pStyle w:val="Listenabsatz"/>
              <w:numPr>
                <w:ilvl w:val="0"/>
                <w:numId w:val="14"/>
              </w:numPr>
              <w:ind w:left="744"/>
              <w:rPr>
                <w:rFonts w:ascii="Arial" w:eastAsia="Times New Roman" w:hAnsi="Arial" w:cs="Arial"/>
                <w:sz w:val="22"/>
                <w:szCs w:val="22"/>
              </w:rPr>
            </w:pPr>
            <w:r w:rsidRPr="002431CD">
              <w:rPr>
                <w:rFonts w:ascii="Arial" w:eastAsia="Times New Roman" w:hAnsi="Arial" w:cs="Arial"/>
                <w:sz w:val="22"/>
                <w:szCs w:val="22"/>
              </w:rPr>
              <w:t>nach ihrer Übermittlung offenkundig geworden sind, ohne dass dies von der empfangenen Partei zu vertreten ist;</w:t>
            </w:r>
          </w:p>
          <w:p w14:paraId="24AC2985" w14:textId="77777777" w:rsidR="00F42D7E" w:rsidRPr="002431CD" w:rsidRDefault="00F42D7E" w:rsidP="007A5E04">
            <w:pPr>
              <w:pStyle w:val="Listenabsatz"/>
              <w:ind w:left="744"/>
              <w:rPr>
                <w:rFonts w:ascii="Arial" w:eastAsia="Times New Roman" w:hAnsi="Arial" w:cs="Arial"/>
                <w:sz w:val="22"/>
                <w:szCs w:val="22"/>
              </w:rPr>
            </w:pPr>
          </w:p>
          <w:p w14:paraId="7BC195C6" w14:textId="77777777" w:rsidR="00F42D7E" w:rsidRPr="002431CD" w:rsidRDefault="00F42D7E" w:rsidP="007A5E04">
            <w:pPr>
              <w:pStyle w:val="Listenabsatz"/>
              <w:numPr>
                <w:ilvl w:val="0"/>
                <w:numId w:val="14"/>
              </w:numPr>
              <w:ind w:left="744"/>
              <w:rPr>
                <w:rFonts w:ascii="Arial" w:eastAsia="Times New Roman" w:hAnsi="Arial" w:cs="Arial"/>
                <w:sz w:val="22"/>
                <w:szCs w:val="22"/>
              </w:rPr>
            </w:pPr>
            <w:r w:rsidRPr="002431CD">
              <w:rPr>
                <w:rFonts w:ascii="Arial" w:eastAsia="Times New Roman" w:hAnsi="Arial" w:cs="Arial"/>
                <w:sz w:val="22"/>
                <w:szCs w:val="22"/>
              </w:rPr>
              <w:t>nach ihrer Übermittlung der empfangenden Partei von dritter Seite auf gesetzlich zulässige Weise und ohne Einschränkung in Bezug auf Geheimhaltung oder Verwendung zugänglich gemacht worden sind;</w:t>
            </w:r>
          </w:p>
          <w:p w14:paraId="4C9BD18D" w14:textId="77777777" w:rsidR="00F42D7E" w:rsidRPr="002431CD" w:rsidRDefault="00F42D7E" w:rsidP="007A5E04">
            <w:pPr>
              <w:pStyle w:val="Listenabsatz"/>
              <w:ind w:left="744"/>
              <w:rPr>
                <w:rFonts w:ascii="Arial" w:eastAsia="Times New Roman" w:hAnsi="Arial" w:cs="Arial"/>
                <w:sz w:val="22"/>
                <w:szCs w:val="22"/>
              </w:rPr>
            </w:pPr>
          </w:p>
          <w:p w14:paraId="10C2FB8C" w14:textId="77777777" w:rsidR="00F42D7E" w:rsidRPr="002431CD" w:rsidRDefault="00F42D7E" w:rsidP="007A5E04">
            <w:pPr>
              <w:pStyle w:val="Listenabsatz"/>
              <w:numPr>
                <w:ilvl w:val="0"/>
                <w:numId w:val="14"/>
              </w:numPr>
              <w:ind w:left="744"/>
              <w:rPr>
                <w:rFonts w:ascii="Arial" w:eastAsia="Times New Roman" w:hAnsi="Arial" w:cs="Arial"/>
                <w:sz w:val="22"/>
                <w:szCs w:val="22"/>
              </w:rPr>
            </w:pPr>
            <w:r w:rsidRPr="002431CD">
              <w:rPr>
                <w:rFonts w:ascii="Arial" w:eastAsia="Times New Roman" w:hAnsi="Arial" w:cs="Arial"/>
                <w:sz w:val="22"/>
                <w:szCs w:val="22"/>
              </w:rPr>
              <w:t xml:space="preserve">von der empfangenden Partei unabhängig erarbeitet worden sind; oder </w:t>
            </w:r>
          </w:p>
          <w:p w14:paraId="2338DDDD" w14:textId="77777777" w:rsidR="00F42D7E" w:rsidRPr="002431CD" w:rsidRDefault="00F42D7E" w:rsidP="007A5E04">
            <w:pPr>
              <w:pStyle w:val="Listenabsatz"/>
              <w:ind w:left="744"/>
              <w:rPr>
                <w:rFonts w:ascii="Arial" w:eastAsia="Times New Roman" w:hAnsi="Arial" w:cs="Arial"/>
                <w:sz w:val="22"/>
                <w:szCs w:val="22"/>
              </w:rPr>
            </w:pPr>
          </w:p>
          <w:p w14:paraId="23829220" w14:textId="39508FEB" w:rsidR="00F42D7E" w:rsidRPr="002431CD" w:rsidRDefault="00F42D7E" w:rsidP="007A5E04">
            <w:pPr>
              <w:pStyle w:val="Listenabsatz"/>
              <w:numPr>
                <w:ilvl w:val="0"/>
                <w:numId w:val="14"/>
              </w:numPr>
              <w:ind w:left="744"/>
              <w:rPr>
                <w:rFonts w:ascii="Arial" w:eastAsia="Times New Roman" w:hAnsi="Arial" w:cs="Arial"/>
                <w:sz w:val="22"/>
                <w:szCs w:val="22"/>
              </w:rPr>
            </w:pPr>
            <w:r w:rsidRPr="002431CD">
              <w:rPr>
                <w:rFonts w:ascii="Arial" w:eastAsia="Times New Roman" w:hAnsi="Arial" w:cs="Arial"/>
                <w:sz w:val="22"/>
                <w:szCs w:val="22"/>
              </w:rPr>
              <w:t>aufgrund gesetzlicher Vorschriften, gerichtlicher Entscheidungen oder behördlicher Verfügungen offengelegt werden müssen; in diesem Fall hat die zur Offenlegung verpflichtete Partei die andere Partei unverzüglich von der Offenlegung in Kenntnis zu setzen, soweit dies rechtlich zulässig ist.</w:t>
            </w:r>
          </w:p>
        </w:tc>
      </w:tr>
      <w:tr w:rsidR="00F42D7E" w:rsidRPr="007A5E04" w14:paraId="56A9C8EF" w14:textId="77777777" w:rsidTr="00F42D7E">
        <w:tc>
          <w:tcPr>
            <w:tcW w:w="9498" w:type="dxa"/>
          </w:tcPr>
          <w:p w14:paraId="24F354D0" w14:textId="7302F107" w:rsidR="00F42D7E" w:rsidRPr="002431CD" w:rsidRDefault="00F42D7E" w:rsidP="007A5E04">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Die oben genannten Geheimhaltungs- und Nichtverwendungsbestimmungen bleiben auch nach Beendigung dieser Vereinbarung [</w:t>
            </w:r>
            <w:r w:rsidRPr="002431CD">
              <w:rPr>
                <w:rFonts w:ascii="Arial" w:eastAsia="Times New Roman" w:hAnsi="Arial" w:cs="Arial"/>
                <w:sz w:val="22"/>
                <w:szCs w:val="22"/>
                <w:highlight w:val="green"/>
              </w:rPr>
              <w:t>zeitlich unbegrenzt</w:t>
            </w:r>
            <w:r w:rsidRPr="002431CD">
              <w:rPr>
                <w:rFonts w:ascii="Arial" w:eastAsia="Times New Roman" w:hAnsi="Arial" w:cs="Arial"/>
                <w:sz w:val="22"/>
                <w:szCs w:val="22"/>
              </w:rPr>
              <w:t xml:space="preserve"> / </w:t>
            </w:r>
            <w:r w:rsidRPr="002431CD">
              <w:rPr>
                <w:rFonts w:ascii="Arial" w:eastAsia="Times New Roman" w:hAnsi="Arial" w:cs="Arial"/>
                <w:sz w:val="22"/>
                <w:szCs w:val="22"/>
                <w:highlight w:val="cyan"/>
              </w:rPr>
              <w:t>für einen Zeitraum von fünf Jahren</w:t>
            </w:r>
            <w:r w:rsidRPr="002431CD">
              <w:rPr>
                <w:rFonts w:ascii="Arial" w:eastAsia="Times New Roman" w:hAnsi="Arial" w:cs="Arial"/>
                <w:sz w:val="22"/>
                <w:szCs w:val="22"/>
              </w:rPr>
              <w:t xml:space="preserve">] in Kraft, solange die Informationen nicht öffentlich </w:t>
            </w:r>
            <w:r w:rsidRPr="00EA4D61">
              <w:rPr>
                <w:rFonts w:ascii="Arial" w:eastAsia="Times New Roman" w:hAnsi="Arial" w:cs="Arial"/>
                <w:sz w:val="22"/>
                <w:szCs w:val="22"/>
              </w:rPr>
              <w:t>bekannt sind.</w:t>
            </w:r>
          </w:p>
        </w:tc>
      </w:tr>
      <w:tr w:rsidR="00F42D7E" w:rsidRPr="007A5E04" w14:paraId="3B458E5C" w14:textId="77777777" w:rsidTr="00F42D7E">
        <w:tc>
          <w:tcPr>
            <w:tcW w:w="9498" w:type="dxa"/>
          </w:tcPr>
          <w:p w14:paraId="7E998A4A" w14:textId="1A13A5F2" w:rsidR="00F42D7E" w:rsidRPr="00C33CBD" w:rsidRDefault="00F42D7E" w:rsidP="00C33CBD">
            <w:pPr>
              <w:pStyle w:val="Listenabsatz"/>
              <w:numPr>
                <w:ilvl w:val="0"/>
                <w:numId w:val="2"/>
              </w:numPr>
              <w:jc w:val="center"/>
              <w:rPr>
                <w:rFonts w:ascii="Arial" w:eastAsia="Times New Roman" w:hAnsi="Arial" w:cs="Arial"/>
                <w:vanish/>
                <w:color w:val="000000"/>
                <w:sz w:val="22"/>
                <w:szCs w:val="22"/>
              </w:rPr>
            </w:pPr>
            <w:r>
              <w:rPr>
                <w:rFonts w:ascii="Arial" w:hAnsi="Arial" w:cs="Arial"/>
                <w:b/>
                <w:bCs/>
                <w:color w:val="000000"/>
                <w:sz w:val="22"/>
                <w:szCs w:val="22"/>
              </w:rPr>
              <w:t>SV-AUDIT</w:t>
            </w:r>
          </w:p>
        </w:tc>
      </w:tr>
      <w:tr w:rsidR="00F42D7E" w:rsidRPr="007A5E04" w14:paraId="5A0D3E3E" w14:textId="77777777" w:rsidTr="00F42D7E">
        <w:tc>
          <w:tcPr>
            <w:tcW w:w="9498" w:type="dxa"/>
          </w:tcPr>
          <w:p w14:paraId="4CBDA43E" w14:textId="70D4E67B" w:rsidR="00F42D7E" w:rsidRPr="00C33CBD" w:rsidRDefault="00F42D7E"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 xml:space="preserve">Jede Partei hat das Recht, ein Sachverständigen-Audit (in der Folge „SV-Audit“) zu verlangen und einzuleiten, wenn zwischen den Parteien Uneinigkeit über eine konkrete bestehende technische oder kommerzielle Frage herrscht. Voraussetzung ist diesfalls, dass die Partei, die das SV-Audit einleiten möchte, die andere Partei zuvor schriftlich unter Angabe einer Begründung unter Setzung einer angemessenen Frist zur Beilegung der </w:t>
            </w:r>
            <w:r w:rsidRPr="002431CD">
              <w:rPr>
                <w:rFonts w:ascii="Arial" w:eastAsia="Times New Roman" w:hAnsi="Arial" w:cs="Arial"/>
                <w:sz w:val="22"/>
                <w:szCs w:val="22"/>
              </w:rPr>
              <w:lastRenderedPageBreak/>
              <w:t xml:space="preserve">Streitigkeit bzw. (wenn die Streitigkeit über eine von der anderen Partei zu erbringende Leistung besteht) zur vertragskonformen Leistungserbringung aufgefordert hat. Nach Ablauf dieser Frist hat die Partei, die zur Beilegung der Streitigkeit bzw. zur vertragskonformen Leistungserbringung aufgefordert hat, das Recht, ein SV-Audit zu verlangen und einzuleiten. Ihr kommt auch das Recht zu, das eingeleitete SV-Audit zu unterbrechen oder abzusagen. </w:t>
            </w:r>
          </w:p>
        </w:tc>
      </w:tr>
      <w:tr w:rsidR="00F42D7E" w:rsidRPr="007A5E04" w14:paraId="3803FD18" w14:textId="77777777" w:rsidTr="00F42D7E">
        <w:tc>
          <w:tcPr>
            <w:tcW w:w="9498" w:type="dxa"/>
          </w:tcPr>
          <w:p w14:paraId="692B4205" w14:textId="4AFA0C50" w:rsidR="00F42D7E" w:rsidRPr="002431CD" w:rsidRDefault="00F42D7E"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lastRenderedPageBreak/>
              <w:t>Das SV-Audit hat die Funktion des (außergerichtlichen) Sachverständigenbeweises.</w:t>
            </w:r>
          </w:p>
        </w:tc>
      </w:tr>
      <w:tr w:rsidR="00F42D7E" w:rsidRPr="007A5E04" w14:paraId="56AE58EF" w14:textId="77777777" w:rsidTr="00F42D7E">
        <w:tc>
          <w:tcPr>
            <w:tcW w:w="9498" w:type="dxa"/>
          </w:tcPr>
          <w:p w14:paraId="7EB22B54" w14:textId="4FC3994A" w:rsidR="00F42D7E" w:rsidRPr="002431CD" w:rsidRDefault="00F42D7E"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 xml:space="preserve">Ein SV-Audit hat von einem unabhängigen Sachverständigen (in der Folge „Auditor“) aus einem Fachgebiet durchgeführt zu werden, das mit dem konkreten Anlass in möglichst enger Beziehung steht. Der Auditor ist zur umfassenden Verschwiegenheit zu verpflichten. Der Auditor soll möglichst im Einvernehmen bestellt werden. </w:t>
            </w:r>
          </w:p>
        </w:tc>
      </w:tr>
      <w:tr w:rsidR="00F42D7E" w:rsidRPr="007A5E04" w14:paraId="7C850E20" w14:textId="77777777" w:rsidTr="00F42D7E">
        <w:tc>
          <w:tcPr>
            <w:tcW w:w="9498" w:type="dxa"/>
          </w:tcPr>
          <w:p w14:paraId="1659830D" w14:textId="790985C7" w:rsidR="00F42D7E" w:rsidRPr="002431CD" w:rsidRDefault="00F42D7E"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Das SV-Audit besteht aus Erstellung von Befund, Gutachten und (soweit Befund und Gutachten dies erfordern) aus der Empfehlung entsprechender Maßnahmen (in der Folge einzeln oder gemeinsam „SV-Empfehlungen“). Der Auditor hat in seinen SV-Empfehlungen insbesondere konkrete Maßnahmen und angemessene Fristen zur Setzung dieser Maßnahmen zu nennen, durch die der Sollzustand (wieder) hergestellt werden soll. Der Auditor hat SV-Empfehlungen so rasch</w:t>
            </w:r>
            <w:r>
              <w:rPr>
                <w:rFonts w:ascii="Arial" w:eastAsia="Times New Roman" w:hAnsi="Arial" w:cs="Arial"/>
                <w:sz w:val="22"/>
                <w:szCs w:val="22"/>
              </w:rPr>
              <w:t xml:space="preserve"> wie</w:t>
            </w:r>
            <w:r w:rsidRPr="002431CD">
              <w:rPr>
                <w:rFonts w:ascii="Arial" w:eastAsia="Times New Roman" w:hAnsi="Arial" w:cs="Arial"/>
                <w:sz w:val="22"/>
                <w:szCs w:val="22"/>
              </w:rPr>
              <w:t xml:space="preserve"> möglich zu erstellen und den Parteien möglichst gleichzeitig zuzustellen.</w:t>
            </w:r>
          </w:p>
        </w:tc>
      </w:tr>
      <w:tr w:rsidR="00F42D7E" w:rsidRPr="007A5E04" w14:paraId="3975622E" w14:textId="77777777" w:rsidTr="00F42D7E">
        <w:tc>
          <w:tcPr>
            <w:tcW w:w="9498" w:type="dxa"/>
          </w:tcPr>
          <w:p w14:paraId="293EC4DC" w14:textId="3970144A" w:rsidR="00F42D7E" w:rsidRPr="002431CD" w:rsidRDefault="00F42D7E"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Die Parteien haben bei den SV-Audits unterstützend mitzuarbeiten und den Auditor überhaupt bei der Erfüllung seiner Aufgabe bestmöglich zu unterstützen und ihn insbesondere mit allen Unterlagen, Erklärungen, Dokumentationen auszustatten und ihm Zugang zu entsprechender Infrastruktur und Mitarbeitern zu gewähren, die für das Audit erforderlich oder nützlich sind. Der Auditor kann auch weitere Experten für bestimmte Sachthemen beiziehen. Sowohl dem Auditor als auch den weiteren Experten sind weitestgehende Einsichts- und Zutrittsrechte zu gewähren.</w:t>
            </w:r>
          </w:p>
        </w:tc>
      </w:tr>
      <w:tr w:rsidR="00F42D7E" w:rsidRPr="007A5E04" w14:paraId="5376FF2B" w14:textId="77777777" w:rsidTr="00F42D7E">
        <w:tc>
          <w:tcPr>
            <w:tcW w:w="9498" w:type="dxa"/>
          </w:tcPr>
          <w:p w14:paraId="3850AD5F" w14:textId="08FD76BE" w:rsidR="00F42D7E" w:rsidRPr="002431CD" w:rsidRDefault="00F42D7E"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Die Tragung der Kosten des SV-Audits (Kosten des Auditors und allenfalls von ihm zugezogener weiterer Experten) wird durch den Auditor nach Anhörung der Parteien nach dem „gerichtlichen Kostenersatz nach Obsiegensprinzip“ bestimmt; im Zweifel hat er festzulegen, dass die Kosten zu gleichen Teilen zu tragen sind. Wer das SV-Audit abbricht oder absagt, hat die bis dahin aufgelaufenen Kosten zur Gänze zu tragen. Im Übrigen trägt jede Partei ihre im Zusammenhang mit Audits anfallenden sonstigen Kosten selbst.</w:t>
            </w:r>
          </w:p>
        </w:tc>
      </w:tr>
      <w:tr w:rsidR="00F42D7E" w:rsidRPr="007A5E04" w14:paraId="00E3848D" w14:textId="77777777" w:rsidTr="00F42D7E">
        <w:tc>
          <w:tcPr>
            <w:tcW w:w="9498" w:type="dxa"/>
          </w:tcPr>
          <w:p w14:paraId="4D5CBE78" w14:textId="04ACF06D" w:rsidR="00F42D7E" w:rsidRPr="002431CD" w:rsidRDefault="00F42D7E"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Begonnene oder abgeschlossene SV-Audits bilden kein Prozesshindernis (keine Streitanhängigkeit bzw. keine entschiedene Streitsache). Während eines anhängigen Gerichtsverfahrens finden keine SV-Audits zu der betreffenden Streitigkeit statt; begonnene diesbezügliche SV-Audits werden abgebrochen; der Kostenersatz richtet sich dann nach dem „Obsiegensprinzip“ im Gerichtsverfahren.</w:t>
            </w:r>
          </w:p>
        </w:tc>
      </w:tr>
      <w:tr w:rsidR="00F42D7E" w:rsidRPr="007A5E04" w14:paraId="74AD4A14" w14:textId="77777777" w:rsidTr="00F42D7E">
        <w:tc>
          <w:tcPr>
            <w:tcW w:w="9498" w:type="dxa"/>
          </w:tcPr>
          <w:p w14:paraId="2F4E4FFF" w14:textId="03B10F74" w:rsidR="00F42D7E" w:rsidRPr="002431CD" w:rsidRDefault="00F42D7E"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 xml:space="preserve">In der Zeit, in der eine Streitbeilegung </w:t>
            </w:r>
            <w:r>
              <w:rPr>
                <w:rFonts w:ascii="Arial" w:eastAsia="Times New Roman" w:hAnsi="Arial" w:cs="Arial"/>
                <w:sz w:val="22"/>
                <w:szCs w:val="22"/>
              </w:rPr>
              <w:t>durch</w:t>
            </w:r>
            <w:r w:rsidRPr="002431CD">
              <w:rPr>
                <w:rFonts w:ascii="Arial" w:eastAsia="Times New Roman" w:hAnsi="Arial" w:cs="Arial"/>
                <w:sz w:val="22"/>
                <w:szCs w:val="22"/>
              </w:rPr>
              <w:t xml:space="preserve"> SV-Audit versucht wird, ist die Verjährung aller damit im Zusammenhang stehenden Ansprüche gehemmt.</w:t>
            </w:r>
          </w:p>
        </w:tc>
      </w:tr>
      <w:tr w:rsidR="00F42D7E" w:rsidRPr="007A5E04" w14:paraId="57D220A6" w14:textId="77777777" w:rsidTr="00F42D7E">
        <w:tc>
          <w:tcPr>
            <w:tcW w:w="9498" w:type="dxa"/>
          </w:tcPr>
          <w:p w14:paraId="68A18274" w14:textId="0A98C9F1" w:rsidR="00F42D7E" w:rsidRPr="002431CD" w:rsidRDefault="00F42D7E" w:rsidP="00986D87">
            <w:pPr>
              <w:pStyle w:val="Listenabsatz"/>
              <w:numPr>
                <w:ilvl w:val="0"/>
                <w:numId w:val="2"/>
              </w:numPr>
              <w:jc w:val="center"/>
              <w:rPr>
                <w:rFonts w:ascii="Arial" w:eastAsia="Times New Roman" w:hAnsi="Arial" w:cs="Arial"/>
                <w:sz w:val="22"/>
                <w:szCs w:val="22"/>
              </w:rPr>
            </w:pPr>
            <w:r w:rsidRPr="001B3879">
              <w:rPr>
                <w:rStyle w:val="ce840541"/>
              </w:rPr>
              <w:t>Vertragsbeendigung</w:t>
            </w:r>
          </w:p>
        </w:tc>
      </w:tr>
      <w:tr w:rsidR="00F42D7E" w:rsidRPr="0066343B" w14:paraId="2A1AADA2" w14:textId="77777777" w:rsidTr="00F42D7E">
        <w:tc>
          <w:tcPr>
            <w:tcW w:w="9498" w:type="dxa"/>
          </w:tcPr>
          <w:p w14:paraId="51E26AEB" w14:textId="067F9099" w:rsidR="00F42D7E" w:rsidRPr="002431CD" w:rsidRDefault="00F42D7E" w:rsidP="00C33CBD">
            <w:pPr>
              <w:pStyle w:val="Listenabsatz"/>
              <w:numPr>
                <w:ilvl w:val="1"/>
                <w:numId w:val="2"/>
              </w:numPr>
              <w:rPr>
                <w:rFonts w:ascii="Arial" w:eastAsia="Times New Roman" w:hAnsi="Arial" w:cs="Arial"/>
                <w:sz w:val="22"/>
                <w:szCs w:val="22"/>
              </w:rPr>
            </w:pPr>
            <w:r>
              <w:rPr>
                <w:rFonts w:ascii="Arial" w:eastAsia="Times New Roman" w:hAnsi="Arial" w:cs="Arial"/>
                <w:sz w:val="22"/>
                <w:szCs w:val="22"/>
              </w:rPr>
              <w:t>Da die Parteien von einem gemeinsamen Dateneigentum ausgehen, kommen hierauf die Regelungen über die Auseinandersetzung von Miteigentum (analog) zur Anwendung.</w:t>
            </w:r>
          </w:p>
        </w:tc>
      </w:tr>
      <w:tr w:rsidR="00F42D7E" w:rsidRPr="007A5E04" w14:paraId="718BF4C5" w14:textId="77777777" w:rsidTr="00F42D7E">
        <w:tc>
          <w:tcPr>
            <w:tcW w:w="9498" w:type="dxa"/>
          </w:tcPr>
          <w:p w14:paraId="7962151F" w14:textId="29A2737D" w:rsidR="00F42D7E" w:rsidRPr="006A642F" w:rsidRDefault="00F42D7E" w:rsidP="006A642F">
            <w:pPr>
              <w:pStyle w:val="Listenabsatz"/>
              <w:numPr>
                <w:ilvl w:val="0"/>
                <w:numId w:val="2"/>
              </w:numPr>
              <w:jc w:val="center"/>
              <w:rPr>
                <w:rStyle w:val="ce840541"/>
              </w:rPr>
            </w:pPr>
            <w:r w:rsidRPr="006A642F">
              <w:rPr>
                <w:rStyle w:val="ce840541"/>
              </w:rPr>
              <w:t>Gerichtsstandsvereinbarung und anwendbares Recht</w:t>
            </w:r>
          </w:p>
        </w:tc>
      </w:tr>
      <w:tr w:rsidR="00F42D7E" w:rsidRPr="007A5E04" w14:paraId="71546318" w14:textId="77777777" w:rsidTr="00F42D7E">
        <w:tc>
          <w:tcPr>
            <w:tcW w:w="9498" w:type="dxa"/>
          </w:tcPr>
          <w:p w14:paraId="31DDD522" w14:textId="7BE01599" w:rsidR="00F42D7E" w:rsidRPr="002431CD" w:rsidRDefault="00F42D7E"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Zur Entscheidung sämtlicher Streitigkeiten aus oder im Zusammenhang mit dieser Vereinbarung (auch über die Frage des gültigen Zustandekommens und aufrechten Bestandes) ist ausschließlich das für [</w:t>
            </w:r>
            <w:r w:rsidRPr="006A642F">
              <w:rPr>
                <w:rFonts w:ascii="Arial" w:eastAsia="Times New Roman" w:hAnsi="Arial" w:cs="Arial"/>
                <w:sz w:val="22"/>
                <w:szCs w:val="22"/>
                <w:highlight w:val="green"/>
              </w:rPr>
              <w:t>BBB</w:t>
            </w:r>
            <w:r w:rsidRPr="002431CD">
              <w:rPr>
                <w:rFonts w:ascii="Arial" w:eastAsia="Times New Roman" w:hAnsi="Arial" w:cs="Arial"/>
                <w:sz w:val="22"/>
                <w:szCs w:val="22"/>
              </w:rPr>
              <w:t xml:space="preserve"> / </w:t>
            </w:r>
            <w:r>
              <w:rPr>
                <w:rFonts w:ascii="Arial" w:eastAsia="Times New Roman" w:hAnsi="Arial" w:cs="Arial"/>
                <w:sz w:val="22"/>
                <w:szCs w:val="22"/>
                <w:highlight w:val="cyan"/>
              </w:rPr>
              <w:t>AAA</w:t>
            </w:r>
            <w:r w:rsidRPr="002431CD">
              <w:rPr>
                <w:rFonts w:ascii="Arial" w:eastAsia="Times New Roman" w:hAnsi="Arial" w:cs="Arial"/>
                <w:sz w:val="22"/>
                <w:szCs w:val="22"/>
              </w:rPr>
              <w:t>] je nach Höhe des Streitwertes zuständige Gericht zuständig (ordentliche Gerichtsbarkeit).</w:t>
            </w:r>
          </w:p>
        </w:tc>
      </w:tr>
      <w:tr w:rsidR="00F42D7E" w:rsidRPr="007A5E04" w14:paraId="191B9D1E" w14:textId="77777777" w:rsidTr="00F42D7E">
        <w:tc>
          <w:tcPr>
            <w:tcW w:w="9498" w:type="dxa"/>
          </w:tcPr>
          <w:p w14:paraId="5E869238" w14:textId="67CE6679" w:rsidR="00F42D7E" w:rsidRPr="002431CD" w:rsidRDefault="00F42D7E" w:rsidP="00C33CBD">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Es ist jedenfalls österreichisches Recht unter Ausschluss der Kollisionsnormen und unter Ausschluss des UN-Kaufrechts anzuwenden.</w:t>
            </w:r>
          </w:p>
        </w:tc>
      </w:tr>
      <w:tr w:rsidR="00F42D7E" w:rsidRPr="007A5E04" w14:paraId="17798FF4" w14:textId="77777777" w:rsidTr="00F42D7E">
        <w:tc>
          <w:tcPr>
            <w:tcW w:w="9498" w:type="dxa"/>
          </w:tcPr>
          <w:p w14:paraId="485DE1A7" w14:textId="03BD0716" w:rsidR="00F42D7E" w:rsidRPr="006A642F" w:rsidRDefault="00F42D7E" w:rsidP="006A642F">
            <w:pPr>
              <w:pStyle w:val="Listenabsatz"/>
              <w:numPr>
                <w:ilvl w:val="0"/>
                <w:numId w:val="2"/>
              </w:numPr>
              <w:jc w:val="center"/>
              <w:rPr>
                <w:rFonts w:ascii="Arial" w:eastAsia="Times New Roman" w:hAnsi="Arial" w:cs="Arial"/>
                <w:vanish/>
                <w:color w:val="000000"/>
                <w:sz w:val="22"/>
                <w:szCs w:val="22"/>
              </w:rPr>
            </w:pPr>
            <w:r w:rsidRPr="002431CD">
              <w:rPr>
                <w:rFonts w:ascii="Arial" w:hAnsi="Arial" w:cs="Arial"/>
                <w:b/>
                <w:bCs/>
                <w:color w:val="000000"/>
                <w:sz w:val="22"/>
                <w:szCs w:val="22"/>
              </w:rPr>
              <w:t>SONSTIGE BESTIMMUNGEN</w:t>
            </w:r>
          </w:p>
        </w:tc>
      </w:tr>
      <w:tr w:rsidR="00F42D7E" w:rsidRPr="007A5E04" w14:paraId="219F17D5" w14:textId="77777777" w:rsidTr="00F42D7E">
        <w:tc>
          <w:tcPr>
            <w:tcW w:w="9498" w:type="dxa"/>
          </w:tcPr>
          <w:p w14:paraId="571B4E02" w14:textId="284AB0A8" w:rsidR="00F42D7E" w:rsidRPr="006A642F" w:rsidRDefault="00F42D7E" w:rsidP="006A642F">
            <w:pPr>
              <w:pStyle w:val="Listenabsatz"/>
              <w:numPr>
                <w:ilvl w:val="1"/>
                <w:numId w:val="2"/>
              </w:numPr>
              <w:rPr>
                <w:rFonts w:ascii="Arial" w:eastAsia="Times New Roman" w:hAnsi="Arial" w:cs="Arial"/>
                <w:sz w:val="22"/>
                <w:szCs w:val="22"/>
              </w:rPr>
            </w:pPr>
            <w:r w:rsidRPr="003A51D5">
              <w:rPr>
                <w:rFonts w:ascii="Arial" w:eastAsia="Times New Roman" w:hAnsi="Arial" w:cs="Arial"/>
                <w:sz w:val="22"/>
                <w:szCs w:val="22"/>
              </w:rPr>
              <w:t>Die Parteien verzichten auf die Anfechtung wegen Irrtums (insbesondere auch eines Kalkulationsirrtums), [</w:t>
            </w:r>
            <w:r w:rsidRPr="003A51D5">
              <w:rPr>
                <w:rFonts w:ascii="Arial" w:eastAsia="Times New Roman" w:hAnsi="Arial" w:cs="Arial"/>
                <w:sz w:val="22"/>
                <w:szCs w:val="22"/>
                <w:highlight w:val="green"/>
              </w:rPr>
              <w:t>nicht aber</w:t>
            </w:r>
            <w:r w:rsidRPr="003A51D5">
              <w:rPr>
                <w:rFonts w:ascii="Arial" w:eastAsia="Times New Roman" w:hAnsi="Arial" w:cs="Arial"/>
                <w:sz w:val="22"/>
                <w:szCs w:val="22"/>
              </w:rPr>
              <w:t xml:space="preserve"> </w:t>
            </w:r>
            <w:r w:rsidRPr="003A51D5">
              <w:rPr>
                <w:rFonts w:ascii="Arial" w:eastAsia="Times New Roman" w:hAnsi="Arial" w:cs="Arial"/>
                <w:sz w:val="22"/>
                <w:szCs w:val="22"/>
                <w:highlight w:val="cyan"/>
              </w:rPr>
              <w:t>Verkürzung über die Hälfte (</w:t>
            </w:r>
            <w:r w:rsidRPr="003A51D5">
              <w:rPr>
                <w:rFonts w:ascii="Arial" w:eastAsia="Times New Roman" w:hAnsi="Arial" w:cs="Arial"/>
                <w:i/>
                <w:sz w:val="22"/>
                <w:szCs w:val="22"/>
                <w:highlight w:val="cyan"/>
              </w:rPr>
              <w:t>laesio enormis</w:t>
            </w:r>
            <w:r w:rsidRPr="003A51D5">
              <w:rPr>
                <w:rFonts w:ascii="Arial" w:eastAsia="Times New Roman" w:hAnsi="Arial" w:cs="Arial"/>
                <w:sz w:val="22"/>
                <w:szCs w:val="22"/>
                <w:highlight w:val="cyan"/>
              </w:rPr>
              <w:t>)</w:t>
            </w:r>
            <w:r w:rsidRPr="003A51D5">
              <w:rPr>
                <w:rFonts w:ascii="Arial" w:eastAsia="Times New Roman" w:hAnsi="Arial" w:cs="Arial"/>
                <w:sz w:val="22"/>
                <w:szCs w:val="22"/>
              </w:rPr>
              <w:t>] oder Wegfall der Geschäftsgrundlage und sonstigen etwaigen gegenwärtigen oder zukünftigen Anfechtungsmöglichkeiten und Wurzelmängeln.</w:t>
            </w:r>
          </w:p>
        </w:tc>
      </w:tr>
      <w:tr w:rsidR="00F42D7E" w:rsidRPr="007A5E04" w14:paraId="314FD8A4" w14:textId="77777777" w:rsidTr="00F42D7E">
        <w:tc>
          <w:tcPr>
            <w:tcW w:w="9498" w:type="dxa"/>
          </w:tcPr>
          <w:p w14:paraId="5B2481E3" w14:textId="1D3ACBAE" w:rsidR="00F42D7E" w:rsidRPr="003A51D5" w:rsidRDefault="00F42D7E" w:rsidP="006A642F">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Diese Vereinbarung und all ihre Dokumente, insbesondere auch die Anlagen, auf die sie verweist oder die zum integrierenden Bestandteil erklärt werden, enthalten alle zwischen den Parteien getroffenen vertraglichen Regelungen. [</w:t>
            </w:r>
            <w:r w:rsidRPr="002431CD">
              <w:rPr>
                <w:rFonts w:ascii="Arial" w:eastAsia="Times New Roman" w:hAnsi="Arial" w:cs="Arial"/>
                <w:sz w:val="22"/>
                <w:szCs w:val="22"/>
                <w:highlight w:val="cyan"/>
              </w:rPr>
              <w:t>Allfällige Allgemeine Einkaufsbedingungen und ähnliche vorformulierte Vertragsbedingungen finden keine Anwendung</w:t>
            </w:r>
            <w:r>
              <w:rPr>
                <w:rFonts w:ascii="Arial" w:eastAsia="Times New Roman" w:hAnsi="Arial" w:cs="Arial"/>
                <w:sz w:val="22"/>
                <w:szCs w:val="22"/>
                <w:highlight w:val="cyan"/>
              </w:rPr>
              <w:t>.</w:t>
            </w:r>
            <w:r w:rsidRPr="002431CD">
              <w:rPr>
                <w:rFonts w:ascii="Arial" w:eastAsia="Times New Roman" w:hAnsi="Arial" w:cs="Arial"/>
                <w:sz w:val="22"/>
                <w:szCs w:val="22"/>
                <w:highlight w:val="green"/>
              </w:rPr>
              <w:t>]</w:t>
            </w:r>
            <w:r w:rsidRPr="002431CD">
              <w:rPr>
                <w:rFonts w:ascii="Arial" w:eastAsia="Times New Roman" w:hAnsi="Arial" w:cs="Arial"/>
                <w:sz w:val="22"/>
                <w:szCs w:val="22"/>
              </w:rPr>
              <w:t xml:space="preserve"> Mündliche Nebenabreden bestehen nicht.</w:t>
            </w:r>
          </w:p>
        </w:tc>
      </w:tr>
      <w:tr w:rsidR="00F42D7E" w:rsidRPr="007A5E04" w14:paraId="668C5C42" w14:textId="77777777" w:rsidTr="00F42D7E">
        <w:tc>
          <w:tcPr>
            <w:tcW w:w="9498" w:type="dxa"/>
          </w:tcPr>
          <w:p w14:paraId="46E55707" w14:textId="0E520228" w:rsidR="00F42D7E" w:rsidRPr="002431CD" w:rsidRDefault="00F42D7E" w:rsidP="006A642F">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Änderungen und Ergänzungen dieser Vereinbarung, einschließlich des Abgehens vom Schriftformangebot, bedürfen zu ihrer Wirksamkeit der Schriftlichkeit.</w:t>
            </w:r>
          </w:p>
        </w:tc>
      </w:tr>
      <w:tr w:rsidR="00F42D7E" w:rsidRPr="007A5E04" w14:paraId="6F5048BD" w14:textId="77777777" w:rsidTr="00F42D7E">
        <w:tc>
          <w:tcPr>
            <w:tcW w:w="9498" w:type="dxa"/>
          </w:tcPr>
          <w:p w14:paraId="50FEF84D" w14:textId="624E2799" w:rsidR="00F42D7E" w:rsidRPr="002431CD" w:rsidRDefault="00F42D7E" w:rsidP="006A642F">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lastRenderedPageBreak/>
              <w:t>Sollte eine Bestimmung dieser Vereinbarung unwirksam, nichtig, gesetzwidrig oder nicht durchsetzbar sein oder werden, so wird die Gültigkeit der übrigen Bestimmungen dieser Vereinbarung nicht berührt. Anstelle der unwirksamen, nichtigen, gesetzwidrigen oder nicht durchsetzbaren Bestimmung(en) soll eine Regelung gelten, die im Rahmen des rechtlich Möglichen dem Willen der Parteien am Nächsten kommt und in ihrer wirtschaftlichen Auswirkung am besten der(den) unwirksamen, nichtigen, gesetzwidrigen oder nicht durchsetzbaren Bestimmung(en) entspricht.</w:t>
            </w:r>
          </w:p>
        </w:tc>
      </w:tr>
      <w:tr w:rsidR="00F42D7E" w:rsidRPr="007A5E04" w14:paraId="3DC3C783" w14:textId="77777777" w:rsidTr="00F42D7E">
        <w:tc>
          <w:tcPr>
            <w:tcW w:w="9498" w:type="dxa"/>
          </w:tcPr>
          <w:p w14:paraId="12E70523" w14:textId="58E4D4BC" w:rsidR="00F42D7E" w:rsidRPr="002431CD" w:rsidRDefault="00F42D7E" w:rsidP="006A642F">
            <w:pPr>
              <w:pStyle w:val="Listenabsatz"/>
              <w:numPr>
                <w:ilvl w:val="1"/>
                <w:numId w:val="2"/>
              </w:numPr>
              <w:rPr>
                <w:rFonts w:ascii="Arial" w:eastAsia="Times New Roman" w:hAnsi="Arial" w:cs="Arial"/>
                <w:sz w:val="22"/>
                <w:szCs w:val="22"/>
              </w:rPr>
            </w:pPr>
            <w:r w:rsidRPr="002431CD">
              <w:rPr>
                <w:rFonts w:ascii="Arial" w:eastAsia="Times New Roman" w:hAnsi="Arial" w:cs="Arial"/>
                <w:sz w:val="22"/>
                <w:szCs w:val="22"/>
              </w:rPr>
              <w:t>Diese Vereinbarung wird in 2 (zwei) Ausfertigungen unterfertigt, von denen jede als Original gilt und von denen jede Partei eine erhält.</w:t>
            </w:r>
          </w:p>
        </w:tc>
      </w:tr>
      <w:tr w:rsidR="00F42D7E" w:rsidRPr="007A5E04" w14:paraId="67621CFC" w14:textId="77777777" w:rsidTr="00F42D7E">
        <w:tc>
          <w:tcPr>
            <w:tcW w:w="9498" w:type="dxa"/>
          </w:tcPr>
          <w:p w14:paraId="5AEF39F6" w14:textId="4975C132" w:rsidR="00F42D7E" w:rsidRPr="002431CD" w:rsidRDefault="00F42D7E" w:rsidP="006A642F">
            <w:pPr>
              <w:pStyle w:val="Listenabsatz"/>
              <w:numPr>
                <w:ilvl w:val="1"/>
                <w:numId w:val="2"/>
              </w:numPr>
              <w:rPr>
                <w:rFonts w:ascii="Arial" w:eastAsia="Times New Roman" w:hAnsi="Arial" w:cs="Arial"/>
                <w:sz w:val="22"/>
                <w:szCs w:val="22"/>
              </w:rPr>
            </w:pPr>
            <w:r w:rsidRPr="002431CD">
              <w:rPr>
                <w:rStyle w:val="normal28"/>
              </w:rPr>
              <w:t xml:space="preserve">Die </w:t>
            </w:r>
            <w:r>
              <w:rPr>
                <w:rStyle w:val="normal28"/>
              </w:rPr>
              <w:t>U</w:t>
            </w:r>
            <w:r w:rsidRPr="002431CD">
              <w:rPr>
                <w:rStyle w:val="normal28"/>
              </w:rPr>
              <w:t>nterzeichnenden garantieren, dass die Partei, für welche sie zeichnen, ohne Weiteres durch Ihre Unterschrift gebunden ist.</w:t>
            </w:r>
          </w:p>
        </w:tc>
      </w:tr>
      <w:tr w:rsidR="00F42D7E" w:rsidRPr="007A5E04" w14:paraId="7A74AE2A" w14:textId="77777777" w:rsidTr="00F42D7E">
        <w:tc>
          <w:tcPr>
            <w:tcW w:w="9498" w:type="dxa"/>
          </w:tcPr>
          <w:p w14:paraId="29860CC9" w14:textId="56281979" w:rsidR="00F42D7E" w:rsidRDefault="00F42D7E" w:rsidP="006A642F">
            <w:pPr>
              <w:rPr>
                <w:rStyle w:val="normal28"/>
              </w:rPr>
            </w:pPr>
            <w:r w:rsidRPr="006A642F">
              <w:rPr>
                <w:rStyle w:val="normal28"/>
                <w:highlight w:val="yellow"/>
              </w:rPr>
              <w:t>[Ort], am [Datum]</w:t>
            </w:r>
          </w:p>
          <w:p w14:paraId="5AAD8788" w14:textId="77777777" w:rsidR="00F42D7E" w:rsidRDefault="00F42D7E" w:rsidP="006A642F">
            <w:pPr>
              <w:rPr>
                <w:rStyle w:val="normal28"/>
              </w:rPr>
            </w:pPr>
          </w:p>
          <w:p w14:paraId="6D7B690E" w14:textId="420DFEE7" w:rsidR="00F42D7E" w:rsidRDefault="00F42D7E" w:rsidP="006A642F">
            <w:pPr>
              <w:rPr>
                <w:rStyle w:val="normal28"/>
              </w:rPr>
            </w:pPr>
            <w:r>
              <w:rPr>
                <w:rStyle w:val="normal28"/>
              </w:rPr>
              <w:t>_________________</w:t>
            </w:r>
          </w:p>
          <w:p w14:paraId="4A36CF2B" w14:textId="239AF9C8" w:rsidR="00F42D7E" w:rsidRPr="002431CD" w:rsidRDefault="00F42D7E" w:rsidP="006A642F">
            <w:pPr>
              <w:rPr>
                <w:rStyle w:val="normal28"/>
              </w:rPr>
            </w:pPr>
            <w:r>
              <w:rPr>
                <w:rStyle w:val="normal28"/>
              </w:rPr>
              <w:t>AAA</w:t>
            </w:r>
          </w:p>
        </w:tc>
      </w:tr>
      <w:tr w:rsidR="00F42D7E" w:rsidRPr="007A5E04" w14:paraId="0174E955" w14:textId="77777777" w:rsidTr="00F42D7E">
        <w:tc>
          <w:tcPr>
            <w:tcW w:w="9498" w:type="dxa"/>
          </w:tcPr>
          <w:p w14:paraId="7D2809F6" w14:textId="77777777" w:rsidR="00F42D7E" w:rsidRDefault="00F42D7E" w:rsidP="006A642F">
            <w:pPr>
              <w:rPr>
                <w:rStyle w:val="normal28"/>
              </w:rPr>
            </w:pPr>
            <w:r w:rsidRPr="006A642F">
              <w:rPr>
                <w:rStyle w:val="normal28"/>
                <w:highlight w:val="yellow"/>
              </w:rPr>
              <w:t>Ort], am [Datum]</w:t>
            </w:r>
          </w:p>
          <w:p w14:paraId="04132965" w14:textId="77777777" w:rsidR="00F42D7E" w:rsidRDefault="00F42D7E" w:rsidP="006A642F">
            <w:pPr>
              <w:rPr>
                <w:rStyle w:val="normal28"/>
              </w:rPr>
            </w:pPr>
          </w:p>
          <w:p w14:paraId="6E27AC7B" w14:textId="77777777" w:rsidR="00F42D7E" w:rsidRDefault="00F42D7E" w:rsidP="006A642F">
            <w:pPr>
              <w:rPr>
                <w:rStyle w:val="normal28"/>
              </w:rPr>
            </w:pPr>
            <w:r>
              <w:rPr>
                <w:rStyle w:val="normal28"/>
              </w:rPr>
              <w:t>_________________</w:t>
            </w:r>
          </w:p>
          <w:p w14:paraId="3495BDC1" w14:textId="32C4904E" w:rsidR="00F42D7E" w:rsidRPr="006A642F" w:rsidRDefault="00F42D7E" w:rsidP="006A642F">
            <w:pPr>
              <w:rPr>
                <w:rStyle w:val="normal28"/>
                <w:highlight w:val="yellow"/>
              </w:rPr>
            </w:pPr>
            <w:r>
              <w:rPr>
                <w:rStyle w:val="normal28"/>
              </w:rPr>
              <w:t>BBB</w:t>
            </w:r>
          </w:p>
        </w:tc>
      </w:tr>
    </w:tbl>
    <w:p w14:paraId="607B2B2E" w14:textId="77777777" w:rsidR="007C680C" w:rsidRPr="001B3879" w:rsidRDefault="007C680C" w:rsidP="00862C6F">
      <w:pPr>
        <w:spacing w:line="300" w:lineRule="atLeast"/>
        <w:ind w:left="567" w:hanging="567"/>
        <w:jc w:val="both"/>
        <w:rPr>
          <w:rFonts w:ascii="Arial" w:hAnsi="Arial" w:cs="Arial"/>
          <w:sz w:val="22"/>
          <w:szCs w:val="22"/>
        </w:rPr>
      </w:pPr>
    </w:p>
    <w:p w14:paraId="32ABAA33" w14:textId="77777777" w:rsidR="00560910" w:rsidRPr="001B3879" w:rsidRDefault="00560910" w:rsidP="00560910">
      <w:pPr>
        <w:pStyle w:val="Listenabsatz"/>
        <w:spacing w:line="300" w:lineRule="atLeast"/>
        <w:ind w:left="567"/>
        <w:contextualSpacing w:val="0"/>
        <w:jc w:val="both"/>
        <w:rPr>
          <w:rFonts w:ascii="Arial" w:eastAsia="Times New Roman" w:hAnsi="Arial" w:cs="Arial"/>
          <w:sz w:val="22"/>
          <w:szCs w:val="22"/>
        </w:rPr>
      </w:pPr>
    </w:p>
    <w:sectPr w:rsidR="00560910" w:rsidRPr="001B3879" w:rsidSect="007C68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34EA4"/>
    <w:multiLevelType w:val="multilevel"/>
    <w:tmpl w:val="C66EFA2E"/>
    <w:lvl w:ilvl="0">
      <w:start w:val="1"/>
      <w:numFmt w:val="bullet"/>
      <w:lvlText w:val=""/>
      <w:lvlJc w:val="left"/>
      <w:pPr>
        <w:ind w:left="372" w:hanging="372"/>
      </w:pPr>
      <w:rPr>
        <w:rFonts w:ascii="Symbol" w:hAnsi="Symbol" w:hint="default"/>
        <w:b/>
      </w:rPr>
    </w:lvl>
    <w:lvl w:ilvl="1">
      <w:start w:val="1"/>
      <w:numFmt w:val="decimal"/>
      <w:lvlText w:val="%1.%2"/>
      <w:lvlJc w:val="left"/>
      <w:pPr>
        <w:ind w:left="372" w:hanging="372"/>
      </w:pPr>
      <w:rPr>
        <w:rFonts w:ascii="Arial" w:hAnsi="Arial" w:cs="Arial"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097779"/>
    <w:multiLevelType w:val="hybridMultilevel"/>
    <w:tmpl w:val="CB4008E2"/>
    <w:lvl w:ilvl="0" w:tplc="6012E794">
      <w:numFmt w:val="bullet"/>
      <w:lvlText w:val="-"/>
      <w:lvlJc w:val="left"/>
      <w:pPr>
        <w:ind w:left="390" w:hanging="360"/>
      </w:pPr>
      <w:rPr>
        <w:rFonts w:ascii="Arial" w:eastAsiaTheme="minorEastAsia" w:hAnsi="Arial" w:cs="Arial" w:hint="default"/>
      </w:rPr>
    </w:lvl>
    <w:lvl w:ilvl="1" w:tplc="0C070003" w:tentative="1">
      <w:start w:val="1"/>
      <w:numFmt w:val="bullet"/>
      <w:lvlText w:val="o"/>
      <w:lvlJc w:val="left"/>
      <w:pPr>
        <w:ind w:left="1110" w:hanging="360"/>
      </w:pPr>
      <w:rPr>
        <w:rFonts w:ascii="Courier New" w:hAnsi="Courier New" w:cs="Courier New" w:hint="default"/>
      </w:rPr>
    </w:lvl>
    <w:lvl w:ilvl="2" w:tplc="0C070005" w:tentative="1">
      <w:start w:val="1"/>
      <w:numFmt w:val="bullet"/>
      <w:lvlText w:val=""/>
      <w:lvlJc w:val="left"/>
      <w:pPr>
        <w:ind w:left="1830" w:hanging="360"/>
      </w:pPr>
      <w:rPr>
        <w:rFonts w:ascii="Wingdings" w:hAnsi="Wingdings" w:hint="default"/>
      </w:rPr>
    </w:lvl>
    <w:lvl w:ilvl="3" w:tplc="0C070001" w:tentative="1">
      <w:start w:val="1"/>
      <w:numFmt w:val="bullet"/>
      <w:lvlText w:val=""/>
      <w:lvlJc w:val="left"/>
      <w:pPr>
        <w:ind w:left="2550" w:hanging="360"/>
      </w:pPr>
      <w:rPr>
        <w:rFonts w:ascii="Symbol" w:hAnsi="Symbol" w:hint="default"/>
      </w:rPr>
    </w:lvl>
    <w:lvl w:ilvl="4" w:tplc="0C070003" w:tentative="1">
      <w:start w:val="1"/>
      <w:numFmt w:val="bullet"/>
      <w:lvlText w:val="o"/>
      <w:lvlJc w:val="left"/>
      <w:pPr>
        <w:ind w:left="3270" w:hanging="360"/>
      </w:pPr>
      <w:rPr>
        <w:rFonts w:ascii="Courier New" w:hAnsi="Courier New" w:cs="Courier New" w:hint="default"/>
      </w:rPr>
    </w:lvl>
    <w:lvl w:ilvl="5" w:tplc="0C070005" w:tentative="1">
      <w:start w:val="1"/>
      <w:numFmt w:val="bullet"/>
      <w:lvlText w:val=""/>
      <w:lvlJc w:val="left"/>
      <w:pPr>
        <w:ind w:left="3990" w:hanging="360"/>
      </w:pPr>
      <w:rPr>
        <w:rFonts w:ascii="Wingdings" w:hAnsi="Wingdings" w:hint="default"/>
      </w:rPr>
    </w:lvl>
    <w:lvl w:ilvl="6" w:tplc="0C070001" w:tentative="1">
      <w:start w:val="1"/>
      <w:numFmt w:val="bullet"/>
      <w:lvlText w:val=""/>
      <w:lvlJc w:val="left"/>
      <w:pPr>
        <w:ind w:left="4710" w:hanging="360"/>
      </w:pPr>
      <w:rPr>
        <w:rFonts w:ascii="Symbol" w:hAnsi="Symbol" w:hint="default"/>
      </w:rPr>
    </w:lvl>
    <w:lvl w:ilvl="7" w:tplc="0C070003" w:tentative="1">
      <w:start w:val="1"/>
      <w:numFmt w:val="bullet"/>
      <w:lvlText w:val="o"/>
      <w:lvlJc w:val="left"/>
      <w:pPr>
        <w:ind w:left="5430" w:hanging="360"/>
      </w:pPr>
      <w:rPr>
        <w:rFonts w:ascii="Courier New" w:hAnsi="Courier New" w:cs="Courier New" w:hint="default"/>
      </w:rPr>
    </w:lvl>
    <w:lvl w:ilvl="8" w:tplc="0C070005" w:tentative="1">
      <w:start w:val="1"/>
      <w:numFmt w:val="bullet"/>
      <w:lvlText w:val=""/>
      <w:lvlJc w:val="left"/>
      <w:pPr>
        <w:ind w:left="6150" w:hanging="360"/>
      </w:pPr>
      <w:rPr>
        <w:rFonts w:ascii="Wingdings" w:hAnsi="Wingdings" w:hint="default"/>
      </w:rPr>
    </w:lvl>
  </w:abstractNum>
  <w:abstractNum w:abstractNumId="2"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9F30FE"/>
    <w:multiLevelType w:val="multilevel"/>
    <w:tmpl w:val="89E830B8"/>
    <w:lvl w:ilvl="0">
      <w:start w:val="5"/>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FE756A"/>
    <w:multiLevelType w:val="multilevel"/>
    <w:tmpl w:val="53FEC754"/>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3E5473"/>
    <w:multiLevelType w:val="multilevel"/>
    <w:tmpl w:val="AEA8E034"/>
    <w:lvl w:ilvl="0">
      <w:start w:val="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13117B"/>
    <w:multiLevelType w:val="multilevel"/>
    <w:tmpl w:val="CD4ED778"/>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8" w15:restartNumberingAfterBreak="0">
    <w:nsid w:val="66E5239F"/>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AF4E61"/>
    <w:multiLevelType w:val="multilevel"/>
    <w:tmpl w:val="EAA09FCC"/>
    <w:lvl w:ilvl="0">
      <w:start w:val="6"/>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5E1A95"/>
    <w:multiLevelType w:val="hybridMultilevel"/>
    <w:tmpl w:val="01B274D6"/>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12" w15:restartNumberingAfterBreak="0">
    <w:nsid w:val="76683DD7"/>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0608023">
    <w:abstractNumId w:val="9"/>
  </w:num>
  <w:num w:numId="2" w16cid:durableId="1218126862">
    <w:abstractNumId w:val="5"/>
  </w:num>
  <w:num w:numId="3" w16cid:durableId="1653412238">
    <w:abstractNumId w:val="6"/>
  </w:num>
  <w:num w:numId="4" w16cid:durableId="1366951278">
    <w:abstractNumId w:val="7"/>
  </w:num>
  <w:num w:numId="5" w16cid:durableId="211117065">
    <w:abstractNumId w:val="4"/>
  </w:num>
  <w:num w:numId="6" w16cid:durableId="1565601650">
    <w:abstractNumId w:val="3"/>
  </w:num>
  <w:num w:numId="7" w16cid:durableId="1574123262">
    <w:abstractNumId w:val="10"/>
  </w:num>
  <w:num w:numId="8" w16cid:durableId="1748456950">
    <w:abstractNumId w:val="11"/>
  </w:num>
  <w:num w:numId="9" w16cid:durableId="353380674">
    <w:abstractNumId w:val="2"/>
  </w:num>
  <w:num w:numId="10" w16cid:durableId="47455850">
    <w:abstractNumId w:val="13"/>
  </w:num>
  <w:num w:numId="11" w16cid:durableId="1816070754">
    <w:abstractNumId w:val="12"/>
  </w:num>
  <w:num w:numId="12" w16cid:durableId="1166746254">
    <w:abstractNumId w:val="8"/>
  </w:num>
  <w:num w:numId="13" w16cid:durableId="1206872976">
    <w:abstractNumId w:val="1"/>
  </w:num>
  <w:num w:numId="14" w16cid:durableId="71770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9C6FB07-22FA-40A5-BCCC-63AA1CF2F6E3}"/>
    <w:docVar w:name="dgnword-eventsink" w:val="193341808"/>
  </w:docVars>
  <w:rsids>
    <w:rsidRoot w:val="00862C6F"/>
    <w:rsid w:val="000035C8"/>
    <w:rsid w:val="000065AB"/>
    <w:rsid w:val="00080876"/>
    <w:rsid w:val="00083B0D"/>
    <w:rsid w:val="000B0ACC"/>
    <w:rsid w:val="000E2927"/>
    <w:rsid w:val="000E3D50"/>
    <w:rsid w:val="000E5AAE"/>
    <w:rsid w:val="00111C35"/>
    <w:rsid w:val="00117228"/>
    <w:rsid w:val="00163174"/>
    <w:rsid w:val="00164C03"/>
    <w:rsid w:val="00172102"/>
    <w:rsid w:val="001A11D6"/>
    <w:rsid w:val="001B3879"/>
    <w:rsid w:val="001B39A2"/>
    <w:rsid w:val="001B5AE6"/>
    <w:rsid w:val="001F46A9"/>
    <w:rsid w:val="001F5CAD"/>
    <w:rsid w:val="002015C0"/>
    <w:rsid w:val="0026416A"/>
    <w:rsid w:val="002B03F5"/>
    <w:rsid w:val="002E2072"/>
    <w:rsid w:val="00337DAF"/>
    <w:rsid w:val="00341354"/>
    <w:rsid w:val="00380EE9"/>
    <w:rsid w:val="00396B95"/>
    <w:rsid w:val="003E7A03"/>
    <w:rsid w:val="004750F0"/>
    <w:rsid w:val="00486CE4"/>
    <w:rsid w:val="004A5CBD"/>
    <w:rsid w:val="004E6228"/>
    <w:rsid w:val="004F5A79"/>
    <w:rsid w:val="0050173D"/>
    <w:rsid w:val="0051329B"/>
    <w:rsid w:val="0053521B"/>
    <w:rsid w:val="00537326"/>
    <w:rsid w:val="00545224"/>
    <w:rsid w:val="00560910"/>
    <w:rsid w:val="0058378A"/>
    <w:rsid w:val="005A088B"/>
    <w:rsid w:val="005F58FC"/>
    <w:rsid w:val="006450C6"/>
    <w:rsid w:val="00657AC9"/>
    <w:rsid w:val="00662B1A"/>
    <w:rsid w:val="0066343B"/>
    <w:rsid w:val="006645B7"/>
    <w:rsid w:val="00670C8D"/>
    <w:rsid w:val="006A642F"/>
    <w:rsid w:val="006B411E"/>
    <w:rsid w:val="006E2D2D"/>
    <w:rsid w:val="007074EA"/>
    <w:rsid w:val="00715D0D"/>
    <w:rsid w:val="007264B6"/>
    <w:rsid w:val="0073555D"/>
    <w:rsid w:val="0075177B"/>
    <w:rsid w:val="007566AB"/>
    <w:rsid w:val="007A5E04"/>
    <w:rsid w:val="007C680C"/>
    <w:rsid w:val="007D747E"/>
    <w:rsid w:val="007E269A"/>
    <w:rsid w:val="007F694C"/>
    <w:rsid w:val="0084599B"/>
    <w:rsid w:val="00847C5E"/>
    <w:rsid w:val="00862C6F"/>
    <w:rsid w:val="0089045A"/>
    <w:rsid w:val="008A6D4D"/>
    <w:rsid w:val="008C5777"/>
    <w:rsid w:val="008F02BC"/>
    <w:rsid w:val="008F3064"/>
    <w:rsid w:val="008F401D"/>
    <w:rsid w:val="008F5FED"/>
    <w:rsid w:val="0095504A"/>
    <w:rsid w:val="00986D87"/>
    <w:rsid w:val="009A4829"/>
    <w:rsid w:val="009D7C60"/>
    <w:rsid w:val="009E5DF3"/>
    <w:rsid w:val="00A073FD"/>
    <w:rsid w:val="00A20DF0"/>
    <w:rsid w:val="00A30DFA"/>
    <w:rsid w:val="00A44D64"/>
    <w:rsid w:val="00A86E94"/>
    <w:rsid w:val="00A91CB1"/>
    <w:rsid w:val="00AC2F58"/>
    <w:rsid w:val="00B16D9C"/>
    <w:rsid w:val="00B23AD7"/>
    <w:rsid w:val="00B90AA6"/>
    <w:rsid w:val="00BC00F3"/>
    <w:rsid w:val="00C11BDB"/>
    <w:rsid w:val="00C33CBD"/>
    <w:rsid w:val="00C41219"/>
    <w:rsid w:val="00C91F7D"/>
    <w:rsid w:val="00CC64F2"/>
    <w:rsid w:val="00D01186"/>
    <w:rsid w:val="00D25E37"/>
    <w:rsid w:val="00D45717"/>
    <w:rsid w:val="00D72165"/>
    <w:rsid w:val="00DA0F23"/>
    <w:rsid w:val="00DB6EE4"/>
    <w:rsid w:val="00DE467D"/>
    <w:rsid w:val="00DE4DB4"/>
    <w:rsid w:val="00DF6EDB"/>
    <w:rsid w:val="00E46704"/>
    <w:rsid w:val="00E51282"/>
    <w:rsid w:val="00E5238B"/>
    <w:rsid w:val="00F148BD"/>
    <w:rsid w:val="00F2401A"/>
    <w:rsid w:val="00F42D7E"/>
    <w:rsid w:val="00F81C56"/>
    <w:rsid w:val="00FA5284"/>
    <w:rsid w:val="00FD6A27"/>
    <w:rsid w:val="00FF13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8FC0"/>
  <w15:chartTrackingRefBased/>
  <w15:docId w15:val="{EC8BA978-3F7A-43C9-A626-65A9BB82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2C6F"/>
    <w:pPr>
      <w:spacing w:after="0" w:line="240" w:lineRule="auto"/>
    </w:pPr>
    <w:rPr>
      <w:rFonts w:ascii="Times New Roman" w:eastAsiaTheme="minorEastAsia" w:hAnsi="Times New Roman" w:cs="Times New Roman"/>
      <w:kern w:val="0"/>
      <w:sz w:val="24"/>
      <w:szCs w:val="24"/>
      <w:lang w:eastAsia="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62C6F"/>
    <w:rPr>
      <w:color w:val="0000FF"/>
      <w:u w:val="single"/>
    </w:rPr>
  </w:style>
  <w:style w:type="character" w:customStyle="1" w:styleId="normal4">
    <w:name w:val="normal4"/>
    <w:basedOn w:val="Absatz-Standardschriftart"/>
    <w:rsid w:val="00862C6F"/>
    <w:rPr>
      <w:rFonts w:ascii="Arial" w:hAnsi="Arial" w:cs="Arial" w:hint="default"/>
      <w:color w:val="000000"/>
      <w:sz w:val="22"/>
      <w:szCs w:val="22"/>
    </w:rPr>
  </w:style>
  <w:style w:type="character" w:customStyle="1" w:styleId="ce840541">
    <w:name w:val="ce840541"/>
    <w:basedOn w:val="Absatz-Standardschriftart"/>
    <w:rsid w:val="00862C6F"/>
    <w:rPr>
      <w:rFonts w:ascii="Arial" w:hAnsi="Arial" w:cs="Arial" w:hint="default"/>
      <w:b/>
      <w:bCs/>
      <w:color w:val="000000"/>
      <w:sz w:val="22"/>
      <w:szCs w:val="22"/>
    </w:rPr>
  </w:style>
  <w:style w:type="paragraph" w:styleId="Listenabsatz">
    <w:name w:val="List Paragraph"/>
    <w:basedOn w:val="Standard"/>
    <w:link w:val="ListenabsatzZchn"/>
    <w:uiPriority w:val="34"/>
    <w:qFormat/>
    <w:rsid w:val="00862C6F"/>
    <w:pPr>
      <w:ind w:left="720"/>
      <w:contextualSpacing/>
    </w:pPr>
  </w:style>
  <w:style w:type="character" w:customStyle="1" w:styleId="ListenabsatzZchn">
    <w:name w:val="Listenabsatz Zchn"/>
    <w:basedOn w:val="Absatz-Standardschriftart"/>
    <w:link w:val="Listenabsatz"/>
    <w:uiPriority w:val="34"/>
    <w:rsid w:val="00862C6F"/>
    <w:rPr>
      <w:rFonts w:ascii="Times New Roman" w:eastAsiaTheme="minorEastAsia" w:hAnsi="Times New Roman" w:cs="Times New Roman"/>
      <w:kern w:val="0"/>
      <w:sz w:val="24"/>
      <w:szCs w:val="24"/>
      <w:lang w:eastAsia="de-AT"/>
      <w14:ligatures w14:val="none"/>
    </w:rPr>
  </w:style>
  <w:style w:type="character" w:customStyle="1" w:styleId="normal16">
    <w:name w:val="normal16"/>
    <w:basedOn w:val="Absatz-Standardschriftart"/>
    <w:rsid w:val="00862C6F"/>
    <w:rPr>
      <w:rFonts w:ascii="Arial" w:hAnsi="Arial" w:cs="Arial" w:hint="default"/>
      <w:color w:val="000000"/>
      <w:sz w:val="22"/>
      <w:szCs w:val="22"/>
    </w:rPr>
  </w:style>
  <w:style w:type="table" w:styleId="Tabellenraster">
    <w:name w:val="Table Grid"/>
    <w:basedOn w:val="NormaleTabelle"/>
    <w:uiPriority w:val="39"/>
    <w:rsid w:val="007C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1B3879"/>
    <w:pPr>
      <w:ind w:left="30"/>
    </w:pPr>
  </w:style>
  <w:style w:type="character" w:customStyle="1" w:styleId="normal1">
    <w:name w:val="normal1"/>
    <w:basedOn w:val="Absatz-Standardschriftart"/>
    <w:rsid w:val="001B3879"/>
    <w:rPr>
      <w:rFonts w:ascii="Arial" w:hAnsi="Arial" w:cs="Arial" w:hint="default"/>
      <w:color w:val="000000"/>
      <w:sz w:val="22"/>
      <w:szCs w:val="22"/>
    </w:rPr>
  </w:style>
  <w:style w:type="character" w:customStyle="1" w:styleId="c943a4281">
    <w:name w:val="c943a4281"/>
    <w:basedOn w:val="Absatz-Standardschriftart"/>
    <w:rsid w:val="001B3879"/>
    <w:rPr>
      <w:rFonts w:ascii="Arial" w:hAnsi="Arial" w:cs="Arial" w:hint="default"/>
      <w:color w:val="000000"/>
      <w:sz w:val="22"/>
      <w:szCs w:val="22"/>
      <w:shd w:val="clear" w:color="auto" w:fill="00FF00"/>
    </w:rPr>
  </w:style>
  <w:style w:type="character" w:customStyle="1" w:styleId="c943a4291">
    <w:name w:val="c943a4291"/>
    <w:basedOn w:val="Absatz-Standardschriftart"/>
    <w:rsid w:val="001B3879"/>
    <w:rPr>
      <w:rFonts w:ascii="Arial" w:hAnsi="Arial" w:cs="Arial" w:hint="default"/>
      <w:color w:val="000000"/>
      <w:sz w:val="22"/>
      <w:szCs w:val="22"/>
      <w:shd w:val="clear" w:color="auto" w:fill="00FFFF"/>
    </w:rPr>
  </w:style>
  <w:style w:type="character" w:customStyle="1" w:styleId="c943a4421">
    <w:name w:val="c943a4421"/>
    <w:basedOn w:val="Absatz-Standardschriftart"/>
    <w:rsid w:val="001B3879"/>
    <w:rPr>
      <w:rFonts w:ascii="Arial" w:hAnsi="Arial" w:cs="Arial" w:hint="default"/>
      <w:color w:val="000000"/>
      <w:sz w:val="22"/>
      <w:szCs w:val="22"/>
      <w:shd w:val="clear" w:color="auto" w:fill="FFFF00"/>
    </w:rPr>
  </w:style>
  <w:style w:type="character" w:customStyle="1" w:styleId="normal27">
    <w:name w:val="normal27"/>
    <w:basedOn w:val="Absatz-Standardschriftart"/>
    <w:rsid w:val="001B3879"/>
    <w:rPr>
      <w:rFonts w:ascii="Arial" w:hAnsi="Arial" w:cs="Arial" w:hint="default"/>
      <w:color w:val="000000"/>
      <w:sz w:val="22"/>
      <w:szCs w:val="22"/>
    </w:rPr>
  </w:style>
  <w:style w:type="character" w:customStyle="1" w:styleId="normal2">
    <w:name w:val="normal2"/>
    <w:basedOn w:val="Absatz-Standardschriftart"/>
    <w:rsid w:val="001B3879"/>
    <w:rPr>
      <w:rFonts w:ascii="Arial" w:hAnsi="Arial" w:cs="Arial" w:hint="default"/>
      <w:color w:val="000000"/>
      <w:sz w:val="22"/>
      <w:szCs w:val="22"/>
    </w:rPr>
  </w:style>
  <w:style w:type="character" w:customStyle="1" w:styleId="c943a4331">
    <w:name w:val="c943a4331"/>
    <w:basedOn w:val="Absatz-Standardschriftart"/>
    <w:rsid w:val="001B3879"/>
    <w:rPr>
      <w:rFonts w:ascii="Arial" w:hAnsi="Arial" w:cs="Arial" w:hint="default"/>
      <w:b/>
      <w:bCs/>
      <w:color w:val="000000"/>
      <w:sz w:val="32"/>
      <w:szCs w:val="32"/>
    </w:rPr>
  </w:style>
  <w:style w:type="character" w:customStyle="1" w:styleId="c943a4261">
    <w:name w:val="c943a4261"/>
    <w:basedOn w:val="Absatz-Standardschriftart"/>
    <w:rsid w:val="001B3879"/>
    <w:rPr>
      <w:rFonts w:ascii="Arial" w:hAnsi="Arial" w:cs="Arial" w:hint="default"/>
      <w:color w:val="000000"/>
      <w:sz w:val="22"/>
      <w:szCs w:val="22"/>
    </w:rPr>
  </w:style>
  <w:style w:type="character" w:customStyle="1" w:styleId="c943a4341">
    <w:name w:val="c943a4341"/>
    <w:basedOn w:val="Absatz-Standardschriftart"/>
    <w:rsid w:val="001B3879"/>
    <w:rPr>
      <w:rFonts w:ascii="Arial" w:hAnsi="Arial" w:cs="Arial" w:hint="default"/>
      <w:color w:val="000000"/>
      <w:sz w:val="22"/>
      <w:szCs w:val="22"/>
      <w:shd w:val="clear" w:color="auto" w:fill="C0C0C0"/>
    </w:rPr>
  </w:style>
  <w:style w:type="character" w:customStyle="1" w:styleId="c943a4411">
    <w:name w:val="c943a4411"/>
    <w:basedOn w:val="Absatz-Standardschriftart"/>
    <w:rsid w:val="001B3879"/>
    <w:rPr>
      <w:rFonts w:ascii="Arial" w:hAnsi="Arial" w:cs="Arial" w:hint="default"/>
      <w:color w:val="000000"/>
      <w:sz w:val="16"/>
      <w:szCs w:val="16"/>
      <w:shd w:val="clear" w:color="auto" w:fill="FFFF00"/>
    </w:rPr>
  </w:style>
  <w:style w:type="character" w:customStyle="1" w:styleId="c943a4381">
    <w:name w:val="c943a4381"/>
    <w:basedOn w:val="Absatz-Standardschriftart"/>
    <w:rsid w:val="001B3879"/>
    <w:rPr>
      <w:rFonts w:ascii="Arial" w:hAnsi="Arial" w:cs="Arial" w:hint="default"/>
      <w:b/>
      <w:bCs/>
      <w:color w:val="000000"/>
      <w:sz w:val="22"/>
      <w:szCs w:val="22"/>
    </w:rPr>
  </w:style>
  <w:style w:type="character" w:customStyle="1" w:styleId="c6747c411">
    <w:name w:val="c6747c411"/>
    <w:basedOn w:val="Absatz-Standardschriftart"/>
    <w:rsid w:val="001B3879"/>
    <w:rPr>
      <w:rFonts w:ascii="Arial" w:hAnsi="Arial" w:cs="Arial" w:hint="default"/>
      <w:b/>
      <w:bCs/>
      <w:color w:val="000000"/>
      <w:sz w:val="22"/>
      <w:szCs w:val="22"/>
    </w:rPr>
  </w:style>
  <w:style w:type="character" w:customStyle="1" w:styleId="normal28">
    <w:name w:val="normal28"/>
    <w:basedOn w:val="Absatz-Standardschriftart"/>
    <w:rsid w:val="006A642F"/>
    <w:rPr>
      <w:rFonts w:ascii="Arial" w:hAnsi="Arial" w:cs="Arial" w:hint="default"/>
      <w:color w:val="000000"/>
      <w:sz w:val="22"/>
      <w:szCs w:val="22"/>
    </w:rPr>
  </w:style>
  <w:style w:type="character" w:styleId="NichtaufgelsteErwhnung">
    <w:name w:val="Unresolved Mention"/>
    <w:basedOn w:val="Absatz-Standardschriftart"/>
    <w:uiPriority w:val="99"/>
    <w:semiHidden/>
    <w:unhideWhenUsed/>
    <w:rsid w:val="0053521B"/>
    <w:rPr>
      <w:color w:val="605E5C"/>
      <w:shd w:val="clear" w:color="auto" w:fill="E1DFDD"/>
    </w:rPr>
  </w:style>
  <w:style w:type="character" w:styleId="BesuchterLink">
    <w:name w:val="FollowedHyperlink"/>
    <w:basedOn w:val="Absatz-Standardschriftart"/>
    <w:uiPriority w:val="99"/>
    <w:semiHidden/>
    <w:unhideWhenUsed/>
    <w:rsid w:val="0066343B"/>
    <w:rPr>
      <w:color w:val="954F72" w:themeColor="followedHyperlink"/>
      <w:u w:val="single"/>
    </w:rPr>
  </w:style>
  <w:style w:type="paragraph" w:styleId="berarbeitung">
    <w:name w:val="Revision"/>
    <w:hidden/>
    <w:uiPriority w:val="99"/>
    <w:semiHidden/>
    <w:rsid w:val="000E5AAE"/>
    <w:pPr>
      <w:spacing w:after="0" w:line="240" w:lineRule="auto"/>
    </w:pPr>
    <w:rPr>
      <w:rFonts w:ascii="Times New Roman" w:eastAsiaTheme="minorEastAsia" w:hAnsi="Times New Roman" w:cs="Times New Roman"/>
      <w:kern w:val="0"/>
      <w:sz w:val="24"/>
      <w:szCs w:val="24"/>
      <w:lang w:eastAsia="de-AT"/>
      <w14:ligatures w14:val="none"/>
    </w:rPr>
  </w:style>
  <w:style w:type="character" w:styleId="Kommentarzeichen">
    <w:name w:val="annotation reference"/>
    <w:basedOn w:val="Absatz-Standardschriftart"/>
    <w:uiPriority w:val="99"/>
    <w:semiHidden/>
    <w:unhideWhenUsed/>
    <w:rsid w:val="0095504A"/>
    <w:rPr>
      <w:sz w:val="16"/>
      <w:szCs w:val="16"/>
    </w:rPr>
  </w:style>
  <w:style w:type="paragraph" w:styleId="Kommentartext">
    <w:name w:val="annotation text"/>
    <w:basedOn w:val="Standard"/>
    <w:link w:val="KommentartextZchn"/>
    <w:uiPriority w:val="99"/>
    <w:unhideWhenUsed/>
    <w:rsid w:val="0095504A"/>
    <w:rPr>
      <w:sz w:val="20"/>
      <w:szCs w:val="20"/>
    </w:rPr>
  </w:style>
  <w:style w:type="character" w:customStyle="1" w:styleId="KommentartextZchn">
    <w:name w:val="Kommentartext Zchn"/>
    <w:basedOn w:val="Absatz-Standardschriftart"/>
    <w:link w:val="Kommentartext"/>
    <w:uiPriority w:val="99"/>
    <w:rsid w:val="0095504A"/>
    <w:rPr>
      <w:rFonts w:ascii="Times New Roman" w:eastAsiaTheme="minorEastAsia" w:hAnsi="Times New Roman" w:cs="Times New Roman"/>
      <w:kern w:val="0"/>
      <w:sz w:val="20"/>
      <w:szCs w:val="20"/>
      <w:lang w:eastAsia="de-AT"/>
      <w14:ligatures w14:val="none"/>
    </w:rPr>
  </w:style>
  <w:style w:type="paragraph" w:styleId="Kommentarthema">
    <w:name w:val="annotation subject"/>
    <w:basedOn w:val="Kommentartext"/>
    <w:next w:val="Kommentartext"/>
    <w:link w:val="KommentarthemaZchn"/>
    <w:uiPriority w:val="99"/>
    <w:semiHidden/>
    <w:unhideWhenUsed/>
    <w:rsid w:val="0095504A"/>
    <w:rPr>
      <w:b/>
      <w:bCs/>
    </w:rPr>
  </w:style>
  <w:style w:type="character" w:customStyle="1" w:styleId="KommentarthemaZchn">
    <w:name w:val="Kommentarthema Zchn"/>
    <w:basedOn w:val="KommentartextZchn"/>
    <w:link w:val="Kommentarthema"/>
    <w:uiPriority w:val="99"/>
    <w:semiHidden/>
    <w:rsid w:val="0095504A"/>
    <w:rPr>
      <w:rFonts w:ascii="Times New Roman" w:eastAsiaTheme="minorEastAsia" w:hAnsi="Times New Roman" w:cs="Times New Roman"/>
      <w:b/>
      <w:bCs/>
      <w:kern w:val="0"/>
      <w:sz w:val="20"/>
      <w:szCs w:val="20"/>
      <w:lang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382957">
      <w:bodyDiv w:val="1"/>
      <w:marLeft w:val="0"/>
      <w:marRight w:val="0"/>
      <w:marTop w:val="0"/>
      <w:marBottom w:val="0"/>
      <w:divBdr>
        <w:top w:val="none" w:sz="0" w:space="0" w:color="auto"/>
        <w:left w:val="none" w:sz="0" w:space="0" w:color="auto"/>
        <w:bottom w:val="none" w:sz="0" w:space="0" w:color="auto"/>
        <w:right w:val="none" w:sz="0" w:space="0" w:color="auto"/>
      </w:divBdr>
    </w:div>
    <w:div w:id="18141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s.bka.gv.at/Dokument.wxe?Abfrage=Bundesnormen&amp;Dokumentnummer=NOR401140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s.bka.gv.at/MarkierteDokumente.wxe?Abfrage=Bundesnormen&amp;Kundmachungsorgan=&amp;Index=&amp;Titel=UGB&amp;Gesetzesnummer=&amp;VonArtikel=&amp;BisArtikel=&amp;VonParagraf=244&amp;BisParagraf=267&amp;VonAnlage=&amp;BisAnlage=&amp;Typ=&amp;Kundmachungsnummer=&amp;Unterzeichnungsdatum=&amp;FassungVom=07.02.2013&amp;NormabschnittnummerKombination=Und&amp;ImRisSeit=Undefined&amp;ResultPageSize=100&amp;Suchworte=&amp;WxeFunctionToken=fd0a55a0-a9a4-4209-96eb-c5d84bd9b27c" TargetMode="External"/><Relationship Id="rId5" Type="http://schemas.openxmlformats.org/officeDocument/2006/relationships/hyperlink" Target="http://www.ris.bka.gv.at/Dokument.wxe?Abfrage=Bundesnormen&amp;Dokumentnummer=NOR4010900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5342</Words>
  <Characters>33658</Characters>
  <Application>Microsoft Office Word</Application>
  <DocSecurity>0</DocSecurity>
  <Lines>280</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ZECHMEISTER Gerd</cp:lastModifiedBy>
  <cp:revision>2</cp:revision>
  <cp:lastPrinted>2023-04-12T16:22:00Z</cp:lastPrinted>
  <dcterms:created xsi:type="dcterms:W3CDTF">2023-04-24T15:14:00Z</dcterms:created>
  <dcterms:modified xsi:type="dcterms:W3CDTF">2023-04-24T15:14:00Z</dcterms:modified>
</cp:coreProperties>
</file>